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1534" w14:textId="77777777" w:rsidR="002A770B" w:rsidRPr="003C503B" w:rsidRDefault="1A6B4969" w:rsidP="1A6B4969">
      <w:pPr>
        <w:rPr>
          <w:b/>
          <w:bCs/>
          <w:sz w:val="24"/>
          <w:szCs w:val="24"/>
        </w:rPr>
      </w:pPr>
      <w:r w:rsidRPr="1A6B4969">
        <w:rPr>
          <w:b/>
          <w:bCs/>
          <w:sz w:val="24"/>
          <w:szCs w:val="24"/>
        </w:rPr>
        <w:t xml:space="preserve">Turkey: Drop Bogus Charges against Istanbul Bar Association Leadership </w:t>
      </w:r>
    </w:p>
    <w:p w14:paraId="13B9D4EA" w14:textId="1D121297" w:rsidR="00FA70B7" w:rsidRPr="003C503B" w:rsidRDefault="00487934" w:rsidP="1A6B4969">
      <w:pPr>
        <w:rPr>
          <w:sz w:val="24"/>
          <w:szCs w:val="24"/>
        </w:rPr>
      </w:pPr>
      <w:r>
        <w:rPr>
          <w:sz w:val="24"/>
          <w:szCs w:val="24"/>
        </w:rPr>
        <w:t>(</w:t>
      </w:r>
      <w:r w:rsidR="00D2553F">
        <w:rPr>
          <w:sz w:val="24"/>
          <w:szCs w:val="24"/>
        </w:rPr>
        <w:t xml:space="preserve">5 January 2026) </w:t>
      </w:r>
      <w:r w:rsidR="009D2250">
        <w:rPr>
          <w:sz w:val="24"/>
          <w:szCs w:val="24"/>
        </w:rPr>
        <w:t xml:space="preserve">- </w:t>
      </w:r>
      <w:r w:rsidR="00866CD6" w:rsidRPr="00866CD6">
        <w:rPr>
          <w:sz w:val="24"/>
          <w:szCs w:val="24"/>
        </w:rPr>
        <w:t xml:space="preserve">The continued prosecution of the president and 10 executive board members of the Istanbul Bar Association, and the prosecutor’s request for their conviction on terrorism charges are a damning reflection of the troubled state of the rule of law and democratic norms in Turkey today, 38 human rights and lawyers’ </w:t>
      </w:r>
      <w:proofErr w:type="spellStart"/>
      <w:r w:rsidR="00866CD6" w:rsidRPr="00866CD6">
        <w:rPr>
          <w:sz w:val="24"/>
          <w:szCs w:val="24"/>
        </w:rPr>
        <w:t>organisations</w:t>
      </w:r>
      <w:proofErr w:type="spellEnd"/>
      <w:r w:rsidR="00866CD6" w:rsidRPr="00866CD6">
        <w:rPr>
          <w:sz w:val="24"/>
          <w:szCs w:val="24"/>
        </w:rPr>
        <w:t xml:space="preserve"> said today. They called on the authorities to immediately terminate the abusive criminal proceedings and drop charges ahead of the 26</w:t>
      </w:r>
      <w:r w:rsidR="00866CD6" w:rsidRPr="00866CD6">
        <w:rPr>
          <w:sz w:val="24"/>
          <w:szCs w:val="24"/>
          <w:vertAlign w:val="superscript"/>
        </w:rPr>
        <w:t>th</w:t>
      </w:r>
      <w:r w:rsidR="00866CD6" w:rsidRPr="00866CD6">
        <w:rPr>
          <w:sz w:val="24"/>
          <w:szCs w:val="24"/>
        </w:rPr>
        <w:t xml:space="preserve"> Istanbul Heavy Penal Court’s expected final hearing scheduled for 5 to 9 January 2026.</w:t>
      </w:r>
    </w:p>
    <w:p w14:paraId="5B29DE49" w14:textId="15E71E43" w:rsidR="00FA70B7" w:rsidRPr="003C503B" w:rsidRDefault="1A6B4969" w:rsidP="1A6B4969">
      <w:pPr>
        <w:rPr>
          <w:sz w:val="24"/>
          <w:szCs w:val="24"/>
        </w:rPr>
      </w:pPr>
      <w:r w:rsidRPr="1A6B4969">
        <w:rPr>
          <w:sz w:val="24"/>
          <w:szCs w:val="24"/>
        </w:rPr>
        <w:t xml:space="preserve">The prosecutor seeks the criminal conviction of all eleven members of the Bar’s elected leadership - President Prof. İbrahim Özden Kaboğlu, Ahmet Ergin, Bengisu </w:t>
      </w:r>
      <w:proofErr w:type="spellStart"/>
      <w:r w:rsidRPr="1A6B4969">
        <w:rPr>
          <w:sz w:val="24"/>
          <w:szCs w:val="24"/>
        </w:rPr>
        <w:t>Kadı</w:t>
      </w:r>
      <w:proofErr w:type="spellEnd"/>
      <w:r w:rsidRPr="1A6B4969">
        <w:rPr>
          <w:sz w:val="24"/>
          <w:szCs w:val="24"/>
        </w:rPr>
        <w:t xml:space="preserve"> Çavdar, Ekim Bilen Selimoğlu, Ezgi Şahin Yalvarici, Fırat Epözdemir, Hürrem Sönmez, </w:t>
      </w:r>
      <w:proofErr w:type="spellStart"/>
      <w:r w:rsidRPr="1A6B4969">
        <w:rPr>
          <w:sz w:val="24"/>
          <w:szCs w:val="24"/>
        </w:rPr>
        <w:t>Mehmedali</w:t>
      </w:r>
      <w:proofErr w:type="spellEnd"/>
      <w:r w:rsidRPr="1A6B4969">
        <w:rPr>
          <w:sz w:val="24"/>
          <w:szCs w:val="24"/>
        </w:rPr>
        <w:t xml:space="preserve"> Barış Beşli, Metin </w:t>
      </w:r>
      <w:proofErr w:type="spellStart"/>
      <w:r w:rsidRPr="1A6B4969">
        <w:rPr>
          <w:sz w:val="24"/>
          <w:szCs w:val="24"/>
        </w:rPr>
        <w:t>İriz</w:t>
      </w:r>
      <w:proofErr w:type="spellEnd"/>
      <w:r w:rsidRPr="1A6B4969">
        <w:rPr>
          <w:sz w:val="24"/>
          <w:szCs w:val="24"/>
        </w:rPr>
        <w:t xml:space="preserve">, Rukiye Leyla Süren, and </w:t>
      </w:r>
      <w:proofErr w:type="spellStart"/>
      <w:r w:rsidRPr="1A6B4969">
        <w:rPr>
          <w:sz w:val="24"/>
          <w:szCs w:val="24"/>
        </w:rPr>
        <w:t>Yelde</w:t>
      </w:r>
      <w:proofErr w:type="spellEnd"/>
      <w:r w:rsidRPr="1A6B4969">
        <w:rPr>
          <w:sz w:val="24"/>
          <w:szCs w:val="24"/>
        </w:rPr>
        <w:t xml:space="preserve"> Koçak Urfa - on the charge of “spreading terrorist propaganda” under Article 7/2 of the Anti-Terrorism Law,  solely for issuing a public statement on 21 December 2024 concerning the killing of two journalists in northern Syria and the arrest of journalists and lawyers at a related peaceful protest in Istanbul the day before.</w:t>
      </w:r>
    </w:p>
    <w:p w14:paraId="1D34E06B" w14:textId="223241B4" w:rsidR="00FA70B7" w:rsidRPr="003C503B" w:rsidRDefault="1A6B4969" w:rsidP="1A6B4969">
      <w:pPr>
        <w:rPr>
          <w:sz w:val="24"/>
          <w:szCs w:val="24"/>
        </w:rPr>
      </w:pPr>
      <w:r w:rsidRPr="1A6B4969">
        <w:rPr>
          <w:sz w:val="24"/>
          <w:szCs w:val="24"/>
        </w:rPr>
        <w:t xml:space="preserve">The trial prosecutor’s final opinion confirms and deepens the concerns raised by 56 international </w:t>
      </w:r>
      <w:proofErr w:type="spellStart"/>
      <w:r w:rsidRPr="1A6B4969">
        <w:rPr>
          <w:sz w:val="24"/>
          <w:szCs w:val="24"/>
        </w:rPr>
        <w:t>organisations</w:t>
      </w:r>
      <w:proofErr w:type="spellEnd"/>
      <w:r w:rsidRPr="1A6B4969">
        <w:rPr>
          <w:sz w:val="24"/>
          <w:szCs w:val="24"/>
        </w:rPr>
        <w:t xml:space="preserve"> </w:t>
      </w:r>
      <w:hyperlink r:id="rId5">
        <w:r w:rsidRPr="1A6B4969">
          <w:rPr>
            <w:rStyle w:val="Hyperlink"/>
            <w:sz w:val="24"/>
            <w:szCs w:val="24"/>
          </w:rPr>
          <w:t>in the joint statement of January 2025</w:t>
        </w:r>
      </w:hyperlink>
      <w:r w:rsidRPr="1A6B4969">
        <w:rPr>
          <w:sz w:val="24"/>
          <w:szCs w:val="24"/>
        </w:rPr>
        <w:t xml:space="preserve">, condemning the initiation of criminal and civil proceedings against the Bar’s leadership, and in </w:t>
      </w:r>
      <w:hyperlink r:id="rId6">
        <w:r w:rsidRPr="1A6B4969">
          <w:rPr>
            <w:rStyle w:val="Hyperlink"/>
            <w:sz w:val="24"/>
            <w:szCs w:val="24"/>
          </w:rPr>
          <w:t>the April 2025 joint statement</w:t>
        </w:r>
      </w:hyperlink>
      <w:r w:rsidRPr="1A6B4969">
        <w:rPr>
          <w:sz w:val="24"/>
          <w:szCs w:val="24"/>
        </w:rPr>
        <w:t xml:space="preserve">, which deplored the removal of the elected board and the escalating attacks on lawyers across Turkey. A group of the </w:t>
      </w:r>
      <w:proofErr w:type="spellStart"/>
      <w:r w:rsidRPr="1A6B4969">
        <w:rPr>
          <w:sz w:val="24"/>
          <w:szCs w:val="24"/>
        </w:rPr>
        <w:t>organisations</w:t>
      </w:r>
      <w:proofErr w:type="spellEnd"/>
      <w:r w:rsidRPr="1A6B4969">
        <w:rPr>
          <w:sz w:val="24"/>
          <w:szCs w:val="24"/>
        </w:rPr>
        <w:t xml:space="preserve"> also submitted </w:t>
      </w:r>
      <w:hyperlink r:id="rId7">
        <w:r w:rsidRPr="1A6B4969">
          <w:rPr>
            <w:rStyle w:val="Hyperlink"/>
            <w:sz w:val="24"/>
            <w:szCs w:val="24"/>
          </w:rPr>
          <w:t xml:space="preserve">a joint </w:t>
        </w:r>
        <w:r w:rsidRPr="1A6B4969">
          <w:rPr>
            <w:rStyle w:val="Hyperlink"/>
            <w:i/>
            <w:iCs/>
            <w:sz w:val="24"/>
            <w:szCs w:val="24"/>
          </w:rPr>
          <w:t>amicus curiae</w:t>
        </w:r>
        <w:r w:rsidRPr="1A6B4969">
          <w:rPr>
            <w:rStyle w:val="Hyperlink"/>
            <w:sz w:val="24"/>
            <w:szCs w:val="24"/>
          </w:rPr>
          <w:t xml:space="preserve"> brief</w:t>
        </w:r>
      </w:hyperlink>
      <w:r w:rsidRPr="1A6B4969">
        <w:rPr>
          <w:sz w:val="24"/>
          <w:szCs w:val="24"/>
        </w:rPr>
        <w:t xml:space="preserve"> in which they concluded that the proceedings violate Turkey’s obligations under international human rights law and constitute an unjustified interference with the independence of the legal profession.</w:t>
      </w:r>
    </w:p>
    <w:p w14:paraId="28B7AAA2" w14:textId="1D7CCC56" w:rsidR="00667036" w:rsidRPr="003C503B" w:rsidRDefault="00667036" w:rsidP="00667036">
      <w:pPr>
        <w:rPr>
          <w:b/>
          <w:bCs/>
          <w:sz w:val="24"/>
          <w:szCs w:val="24"/>
          <w:lang w:val="en-GB"/>
        </w:rPr>
      </w:pPr>
      <w:r w:rsidRPr="003C503B">
        <w:rPr>
          <w:b/>
          <w:bCs/>
          <w:sz w:val="24"/>
          <w:szCs w:val="24"/>
          <w:lang w:val="en-GB"/>
        </w:rPr>
        <w:t xml:space="preserve">A </w:t>
      </w:r>
      <w:r w:rsidR="5EEA4855" w:rsidRPr="003C503B">
        <w:rPr>
          <w:b/>
          <w:bCs/>
          <w:sz w:val="24"/>
          <w:szCs w:val="24"/>
          <w:lang w:val="en-GB"/>
        </w:rPr>
        <w:t xml:space="preserve">clear </w:t>
      </w:r>
      <w:r w:rsidR="008929D2" w:rsidRPr="003C503B">
        <w:rPr>
          <w:b/>
          <w:bCs/>
          <w:sz w:val="24"/>
          <w:szCs w:val="24"/>
          <w:lang w:val="en-GB"/>
        </w:rPr>
        <w:t>m</w:t>
      </w:r>
      <w:r w:rsidRPr="003C503B">
        <w:rPr>
          <w:b/>
          <w:bCs/>
          <w:sz w:val="24"/>
          <w:szCs w:val="24"/>
          <w:lang w:val="en-GB"/>
        </w:rPr>
        <w:t xml:space="preserve">isuse of </w:t>
      </w:r>
      <w:r w:rsidR="008929D2" w:rsidRPr="003C503B">
        <w:rPr>
          <w:b/>
          <w:bCs/>
          <w:sz w:val="24"/>
          <w:szCs w:val="24"/>
          <w:lang w:val="en-GB"/>
        </w:rPr>
        <w:t>c</w:t>
      </w:r>
      <w:r w:rsidRPr="003C503B">
        <w:rPr>
          <w:b/>
          <w:bCs/>
          <w:sz w:val="24"/>
          <w:szCs w:val="24"/>
          <w:lang w:val="en-GB"/>
        </w:rPr>
        <w:t xml:space="preserve">riminal </w:t>
      </w:r>
      <w:r w:rsidR="008929D2" w:rsidRPr="003C503B">
        <w:rPr>
          <w:b/>
          <w:bCs/>
          <w:sz w:val="24"/>
          <w:szCs w:val="24"/>
          <w:lang w:val="en-GB"/>
        </w:rPr>
        <w:t>l</w:t>
      </w:r>
      <w:r w:rsidRPr="003C503B">
        <w:rPr>
          <w:b/>
          <w:bCs/>
          <w:sz w:val="24"/>
          <w:szCs w:val="24"/>
          <w:lang w:val="en-GB"/>
        </w:rPr>
        <w:t>aw</w:t>
      </w:r>
    </w:p>
    <w:p w14:paraId="2919D68E" w14:textId="6C344994" w:rsidR="00667036" w:rsidRPr="003C503B" w:rsidRDefault="1A6B4969" w:rsidP="1A6B4969">
      <w:pPr>
        <w:rPr>
          <w:sz w:val="24"/>
          <w:szCs w:val="24"/>
        </w:rPr>
      </w:pPr>
      <w:r w:rsidRPr="1A6B4969">
        <w:rPr>
          <w:sz w:val="24"/>
          <w:szCs w:val="24"/>
        </w:rPr>
        <w:t xml:space="preserve">In his final opinion, the prosecutor alleges that by referring to the two individuals killed in Syria as journalists and by citing international humanitarian law applicable to the protection of civilians and media workers in conflict zones, the Bar leadership “treated as a war crime” an operation carried out by security forces, thereby intentionally </w:t>
      </w:r>
      <w:proofErr w:type="spellStart"/>
      <w:r w:rsidRPr="1A6B4969">
        <w:rPr>
          <w:sz w:val="24"/>
          <w:szCs w:val="24"/>
        </w:rPr>
        <w:t>legitimising</w:t>
      </w:r>
      <w:proofErr w:type="spellEnd"/>
      <w:r w:rsidRPr="1A6B4969">
        <w:rPr>
          <w:sz w:val="24"/>
          <w:szCs w:val="24"/>
        </w:rPr>
        <w:t xml:space="preserve"> and disseminating the ultimate separatist aims of the Kurdistan Workers’ Party (PKK). The prosecutor further asserts that describing those killed as journalists “encouraged” membership of the PKK and “made its methods appear legitimate”, amounting to “press and media–based terrorist propaganda” under Article 7/2 of the Anti-Terrorism Law.  These allegations, which claim that a lawful, rights-based statement consciously advanced the objectives of an armed </w:t>
      </w:r>
      <w:proofErr w:type="spellStart"/>
      <w:r w:rsidRPr="1A6B4969">
        <w:rPr>
          <w:sz w:val="24"/>
          <w:szCs w:val="24"/>
        </w:rPr>
        <w:t>organisation</w:t>
      </w:r>
      <w:proofErr w:type="spellEnd"/>
      <w:r w:rsidRPr="1A6B4969">
        <w:rPr>
          <w:sz w:val="24"/>
          <w:szCs w:val="24"/>
        </w:rPr>
        <w:t>, are wholly unfounded and legally unsustainable.</w:t>
      </w:r>
    </w:p>
    <w:p w14:paraId="66B3256B" w14:textId="79D556DD" w:rsidR="5B5B4733" w:rsidRPr="003C503B" w:rsidRDefault="1A6B4969" w:rsidP="1A6B4969">
      <w:pPr>
        <w:rPr>
          <w:sz w:val="24"/>
          <w:szCs w:val="24"/>
        </w:rPr>
      </w:pPr>
      <w:r w:rsidRPr="1A6B4969">
        <w:rPr>
          <w:sz w:val="24"/>
          <w:szCs w:val="24"/>
        </w:rPr>
        <w:t xml:space="preserve">As </w:t>
      </w:r>
      <w:proofErr w:type="spellStart"/>
      <w:r w:rsidRPr="1A6B4969">
        <w:rPr>
          <w:sz w:val="24"/>
          <w:szCs w:val="24"/>
        </w:rPr>
        <w:t>emphasised</w:t>
      </w:r>
      <w:proofErr w:type="spellEnd"/>
      <w:r w:rsidRPr="1A6B4969">
        <w:rPr>
          <w:sz w:val="24"/>
          <w:szCs w:val="24"/>
        </w:rPr>
        <w:t xml:space="preserve"> in both joint statements in January and April 2025 and the </w:t>
      </w:r>
      <w:r w:rsidRPr="1A6B4969">
        <w:rPr>
          <w:i/>
          <w:iCs/>
          <w:sz w:val="24"/>
          <w:szCs w:val="24"/>
        </w:rPr>
        <w:t>amicus curiae</w:t>
      </w:r>
      <w:r w:rsidRPr="1A6B4969">
        <w:rPr>
          <w:sz w:val="24"/>
          <w:szCs w:val="24"/>
        </w:rPr>
        <w:t xml:space="preserve"> brief in September 2025, the Istanbul Bar Association has a statutory and ethical duty to speak out on violations of human rights and the rule of law. The prosecutor’s position effectively </w:t>
      </w:r>
      <w:proofErr w:type="spellStart"/>
      <w:r w:rsidRPr="1A6B4969">
        <w:rPr>
          <w:sz w:val="24"/>
          <w:szCs w:val="24"/>
        </w:rPr>
        <w:t>criminalises</w:t>
      </w:r>
      <w:proofErr w:type="spellEnd"/>
      <w:r w:rsidRPr="1A6B4969">
        <w:rPr>
          <w:rFonts w:ascii="Aptos" w:eastAsia="Aptos" w:hAnsi="Aptos" w:cs="Aptos"/>
          <w:b/>
          <w:bCs/>
          <w:sz w:val="24"/>
          <w:szCs w:val="24"/>
        </w:rPr>
        <w:t xml:space="preserve"> </w:t>
      </w:r>
      <w:r w:rsidRPr="1A6B4969">
        <w:rPr>
          <w:rFonts w:ascii="Aptos" w:eastAsia="Aptos" w:hAnsi="Aptos" w:cs="Aptos"/>
          <w:sz w:val="24"/>
          <w:szCs w:val="24"/>
        </w:rPr>
        <w:t xml:space="preserve">the Bar Association’s discharge of this duty protected under both domestic law and international human rights law and standards. The </w:t>
      </w:r>
      <w:proofErr w:type="gramStart"/>
      <w:r w:rsidRPr="1A6B4969">
        <w:rPr>
          <w:rFonts w:ascii="Aptos" w:eastAsia="Aptos" w:hAnsi="Aptos" w:cs="Aptos"/>
          <w:sz w:val="24"/>
          <w:szCs w:val="24"/>
        </w:rPr>
        <w:lastRenderedPageBreak/>
        <w:t>prosecutor’s</w:t>
      </w:r>
      <w:proofErr w:type="gramEnd"/>
      <w:r w:rsidRPr="1A6B4969">
        <w:rPr>
          <w:rFonts w:ascii="Aptos" w:eastAsia="Aptos" w:hAnsi="Aptos" w:cs="Aptos"/>
          <w:sz w:val="24"/>
          <w:szCs w:val="24"/>
        </w:rPr>
        <w:t xml:space="preserve"> construal of </w:t>
      </w:r>
      <w:r w:rsidRPr="1A6B4969">
        <w:rPr>
          <w:sz w:val="24"/>
          <w:szCs w:val="24"/>
        </w:rPr>
        <w:t>a legitimate</w:t>
      </w:r>
      <w:r w:rsidRPr="1A6B4969">
        <w:rPr>
          <w:rFonts w:ascii="Aptos" w:eastAsia="Aptos" w:hAnsi="Aptos" w:cs="Aptos"/>
          <w:sz w:val="24"/>
          <w:szCs w:val="24"/>
        </w:rPr>
        <w:t xml:space="preserve"> exercise of the right to freedom of expression</w:t>
      </w:r>
      <w:r w:rsidRPr="1A6B4969">
        <w:rPr>
          <w:sz w:val="24"/>
          <w:szCs w:val="24"/>
        </w:rPr>
        <w:t xml:space="preserve"> as a terrorism offence amounts to a misuse of criminal law and judicial harassment.</w:t>
      </w:r>
    </w:p>
    <w:p w14:paraId="6798F761" w14:textId="5DFBE151" w:rsidR="00667036" w:rsidRPr="003C503B" w:rsidRDefault="00667036" w:rsidP="00667036">
      <w:pPr>
        <w:rPr>
          <w:b/>
          <w:bCs/>
          <w:sz w:val="24"/>
          <w:szCs w:val="24"/>
          <w:lang w:val="en-GB"/>
        </w:rPr>
      </w:pPr>
      <w:r w:rsidRPr="003C503B">
        <w:rPr>
          <w:b/>
          <w:bCs/>
          <w:sz w:val="24"/>
          <w:szCs w:val="24"/>
          <w:lang w:val="en-GB"/>
        </w:rPr>
        <w:t xml:space="preserve">Violations of </w:t>
      </w:r>
      <w:r w:rsidR="00340F81" w:rsidRPr="003C503B">
        <w:rPr>
          <w:b/>
          <w:bCs/>
          <w:sz w:val="24"/>
          <w:szCs w:val="24"/>
          <w:lang w:val="en-GB"/>
        </w:rPr>
        <w:t>i</w:t>
      </w:r>
      <w:r w:rsidRPr="003C503B">
        <w:rPr>
          <w:b/>
          <w:bCs/>
          <w:sz w:val="24"/>
          <w:szCs w:val="24"/>
          <w:lang w:val="en-GB"/>
        </w:rPr>
        <w:t xml:space="preserve">nternational </w:t>
      </w:r>
      <w:r w:rsidR="00340F81" w:rsidRPr="003C503B">
        <w:rPr>
          <w:b/>
          <w:bCs/>
          <w:sz w:val="24"/>
          <w:szCs w:val="24"/>
          <w:lang w:val="en-GB"/>
        </w:rPr>
        <w:t>s</w:t>
      </w:r>
      <w:r w:rsidRPr="003C503B">
        <w:rPr>
          <w:b/>
          <w:bCs/>
          <w:sz w:val="24"/>
          <w:szCs w:val="24"/>
          <w:lang w:val="en-GB"/>
        </w:rPr>
        <w:t xml:space="preserve">tandards and the Bar’s </w:t>
      </w:r>
      <w:r w:rsidR="00340F81" w:rsidRPr="003C503B">
        <w:rPr>
          <w:b/>
          <w:bCs/>
          <w:sz w:val="24"/>
          <w:szCs w:val="24"/>
          <w:lang w:val="en-GB"/>
        </w:rPr>
        <w:t>s</w:t>
      </w:r>
      <w:r w:rsidRPr="003C503B">
        <w:rPr>
          <w:b/>
          <w:bCs/>
          <w:sz w:val="24"/>
          <w:szCs w:val="24"/>
          <w:lang w:val="en-GB"/>
        </w:rPr>
        <w:t xml:space="preserve">tatutory </w:t>
      </w:r>
      <w:r w:rsidR="00340F81" w:rsidRPr="003C503B">
        <w:rPr>
          <w:b/>
          <w:bCs/>
          <w:sz w:val="24"/>
          <w:szCs w:val="24"/>
          <w:lang w:val="en-GB"/>
        </w:rPr>
        <w:t>m</w:t>
      </w:r>
      <w:r w:rsidRPr="003C503B">
        <w:rPr>
          <w:b/>
          <w:bCs/>
          <w:sz w:val="24"/>
          <w:szCs w:val="24"/>
          <w:lang w:val="en-GB"/>
        </w:rPr>
        <w:t>andate</w:t>
      </w:r>
    </w:p>
    <w:p w14:paraId="7257427D" w14:textId="5983E264" w:rsidR="00667036" w:rsidRPr="003C503B" w:rsidRDefault="00667036" w:rsidP="00667036">
      <w:pPr>
        <w:rPr>
          <w:sz w:val="24"/>
          <w:szCs w:val="24"/>
          <w:lang w:val="en-GB"/>
        </w:rPr>
      </w:pPr>
      <w:r w:rsidRPr="003C503B">
        <w:rPr>
          <w:sz w:val="24"/>
          <w:szCs w:val="24"/>
          <w:lang w:val="en-GB"/>
        </w:rPr>
        <w:t xml:space="preserve">International and regional </w:t>
      </w:r>
      <w:r w:rsidR="0525BA15" w:rsidRPr="003C503B">
        <w:rPr>
          <w:sz w:val="24"/>
          <w:szCs w:val="24"/>
          <w:lang w:val="en-GB"/>
        </w:rPr>
        <w:t xml:space="preserve">human rights </w:t>
      </w:r>
      <w:r w:rsidRPr="003C503B">
        <w:rPr>
          <w:sz w:val="24"/>
          <w:szCs w:val="24"/>
          <w:lang w:val="en-GB"/>
        </w:rPr>
        <w:t xml:space="preserve">standards, including the UN Basic Principles on the Role of Lawyers, the Council of Europe </w:t>
      </w:r>
      <w:r w:rsidR="001F34A0" w:rsidRPr="003C503B">
        <w:rPr>
          <w:sz w:val="24"/>
          <w:szCs w:val="24"/>
          <w:lang w:val="en-GB"/>
        </w:rPr>
        <w:t>Convention for the Protection of the Profession of Lawyer</w:t>
      </w:r>
      <w:r w:rsidRPr="003C503B">
        <w:rPr>
          <w:sz w:val="24"/>
          <w:szCs w:val="24"/>
          <w:lang w:val="en-GB"/>
        </w:rPr>
        <w:t>, and consistent jurisprudence of the European Court of Human Rights, affirm that lawyers and their associations must be able to engage in public debate on matters of justice and human rights without fear of reprisals.</w:t>
      </w:r>
    </w:p>
    <w:p w14:paraId="4A9DB09E" w14:textId="1086D019" w:rsidR="006E4C4C" w:rsidRPr="003C503B" w:rsidRDefault="1A6B4969" w:rsidP="1A6B4969">
      <w:pPr>
        <w:rPr>
          <w:sz w:val="24"/>
          <w:szCs w:val="24"/>
        </w:rPr>
      </w:pPr>
      <w:proofErr w:type="spellStart"/>
      <w:r w:rsidRPr="1A6B4969">
        <w:rPr>
          <w:sz w:val="24"/>
          <w:szCs w:val="24"/>
        </w:rPr>
        <w:t>Criminalising</w:t>
      </w:r>
      <w:proofErr w:type="spellEnd"/>
      <w:r w:rsidRPr="1A6B4969">
        <w:rPr>
          <w:sz w:val="24"/>
          <w:szCs w:val="24"/>
        </w:rPr>
        <w:t xml:space="preserve"> their exercise of the rights to freedom of expression and association contravenes the provisions of these instruments safeguarding the rights and role  of lawyers and their professional </w:t>
      </w:r>
      <w:proofErr w:type="spellStart"/>
      <w:r w:rsidRPr="1A6B4969">
        <w:rPr>
          <w:sz w:val="24"/>
          <w:szCs w:val="24"/>
        </w:rPr>
        <w:t>organisations</w:t>
      </w:r>
      <w:proofErr w:type="spellEnd"/>
      <w:r w:rsidRPr="1A6B4969">
        <w:rPr>
          <w:sz w:val="24"/>
          <w:szCs w:val="24"/>
        </w:rPr>
        <w:t>, as well as Articles 10 and 11 of the European Convention on Human Rights, Articles 19 and 22 of the International Covenant on Civil and Political Rights, and Articles 26, 27 and 33 of the Constitution of Türkiye.</w:t>
      </w:r>
    </w:p>
    <w:p w14:paraId="189EB816" w14:textId="50AA26BF" w:rsidR="00667036" w:rsidRPr="003C503B" w:rsidRDefault="1A6B4969" w:rsidP="1A6B4969">
      <w:pPr>
        <w:rPr>
          <w:sz w:val="24"/>
          <w:szCs w:val="24"/>
        </w:rPr>
      </w:pPr>
      <w:r w:rsidRPr="1A6B4969">
        <w:rPr>
          <w:sz w:val="24"/>
          <w:szCs w:val="24"/>
        </w:rPr>
        <w:t xml:space="preserve">As reiterated in the earlier statements and the </w:t>
      </w:r>
      <w:r w:rsidRPr="1A6B4969">
        <w:rPr>
          <w:i/>
          <w:iCs/>
          <w:sz w:val="24"/>
          <w:szCs w:val="24"/>
        </w:rPr>
        <w:t>amicus curiae</w:t>
      </w:r>
      <w:r w:rsidRPr="1A6B4969">
        <w:rPr>
          <w:sz w:val="24"/>
          <w:szCs w:val="24"/>
        </w:rPr>
        <w:t xml:space="preserve"> brief, the Bar Association’s 21 December 2024 statement was a lawful, legitimate and necessary intervention on an issue of public concern: the killing of journalists and the unlawful detention of journalists and lawyers engaged in peaceful assembly. On 27 November 2025, the seven journalists and two others who were also being prosecuted for their participation in the peaceful assembly on 20 December 2024, protesting the killing of the two journalists were acquitted in the final hearing of their trial.</w:t>
      </w:r>
    </w:p>
    <w:p w14:paraId="1EBCB48A" w14:textId="00DC8F1F" w:rsidR="00667036" w:rsidRPr="003C503B" w:rsidRDefault="00667036" w:rsidP="00667036">
      <w:pPr>
        <w:rPr>
          <w:sz w:val="24"/>
          <w:szCs w:val="24"/>
          <w:lang w:val="en-GB"/>
        </w:rPr>
      </w:pPr>
      <w:r w:rsidRPr="003C503B">
        <w:rPr>
          <w:sz w:val="24"/>
          <w:szCs w:val="24"/>
          <w:lang w:val="en-GB"/>
        </w:rPr>
        <w:t xml:space="preserve">The </w:t>
      </w:r>
      <w:r w:rsidR="00836B89" w:rsidRPr="003C503B">
        <w:rPr>
          <w:sz w:val="24"/>
          <w:szCs w:val="24"/>
          <w:lang w:val="en-GB"/>
        </w:rPr>
        <w:t>criminal</w:t>
      </w:r>
      <w:r w:rsidRPr="003C503B">
        <w:rPr>
          <w:sz w:val="24"/>
          <w:szCs w:val="24"/>
          <w:lang w:val="en-GB"/>
        </w:rPr>
        <w:t xml:space="preserve"> proceedings</w:t>
      </w:r>
      <w:r w:rsidR="00671877" w:rsidRPr="003C503B">
        <w:rPr>
          <w:sz w:val="24"/>
          <w:szCs w:val="24"/>
          <w:lang w:val="en-GB"/>
        </w:rPr>
        <w:t>, therefore,</w:t>
      </w:r>
      <w:r w:rsidRPr="003C503B">
        <w:rPr>
          <w:sz w:val="24"/>
          <w:szCs w:val="24"/>
          <w:lang w:val="en-GB"/>
        </w:rPr>
        <w:t xml:space="preserve"> strike at the heart of the independence of the legal profession and amount to a misuse of counter-terrorism laws to silence criticism, suppress human rights monitoring, and undermine self-governance of bar associations.</w:t>
      </w:r>
    </w:p>
    <w:p w14:paraId="0404A648" w14:textId="2CF5DA7C" w:rsidR="00667036" w:rsidRPr="003C503B" w:rsidRDefault="00667036" w:rsidP="00667036">
      <w:pPr>
        <w:rPr>
          <w:b/>
          <w:bCs/>
          <w:sz w:val="24"/>
          <w:szCs w:val="24"/>
          <w:lang w:val="en-GB"/>
        </w:rPr>
      </w:pPr>
      <w:r w:rsidRPr="003C503B">
        <w:rPr>
          <w:b/>
          <w:bCs/>
          <w:sz w:val="24"/>
          <w:szCs w:val="24"/>
          <w:lang w:val="en-GB"/>
        </w:rPr>
        <w:t xml:space="preserve">Call for </w:t>
      </w:r>
      <w:r w:rsidR="00836B89" w:rsidRPr="003C503B">
        <w:rPr>
          <w:b/>
          <w:bCs/>
          <w:sz w:val="24"/>
          <w:szCs w:val="24"/>
          <w:lang w:val="en-GB"/>
        </w:rPr>
        <w:t>i</w:t>
      </w:r>
      <w:r w:rsidRPr="003C503B">
        <w:rPr>
          <w:b/>
          <w:bCs/>
          <w:sz w:val="24"/>
          <w:szCs w:val="24"/>
          <w:lang w:val="en-GB"/>
        </w:rPr>
        <w:t xml:space="preserve">mmediate </w:t>
      </w:r>
      <w:r w:rsidR="00836B89" w:rsidRPr="003C503B">
        <w:rPr>
          <w:b/>
          <w:bCs/>
          <w:sz w:val="24"/>
          <w:szCs w:val="24"/>
          <w:lang w:val="en-GB"/>
        </w:rPr>
        <w:t>a</w:t>
      </w:r>
      <w:r w:rsidRPr="003C503B">
        <w:rPr>
          <w:b/>
          <w:bCs/>
          <w:sz w:val="24"/>
          <w:szCs w:val="24"/>
          <w:lang w:val="en-GB"/>
        </w:rPr>
        <w:t>ction</w:t>
      </w:r>
    </w:p>
    <w:p w14:paraId="416BB7A0" w14:textId="79CFFD53" w:rsidR="00667036" w:rsidRPr="003C503B" w:rsidRDefault="1A6B4969" w:rsidP="1A6B4969">
      <w:pPr>
        <w:rPr>
          <w:sz w:val="24"/>
          <w:szCs w:val="24"/>
        </w:rPr>
      </w:pPr>
      <w:r w:rsidRPr="1A6B4969">
        <w:rPr>
          <w:sz w:val="24"/>
          <w:szCs w:val="24"/>
        </w:rPr>
        <w:t xml:space="preserve">Ahead of the next hearing due to take place over five days from 5-9 January 2026, the signing </w:t>
      </w:r>
      <w:proofErr w:type="spellStart"/>
      <w:r w:rsidRPr="1A6B4969">
        <w:rPr>
          <w:sz w:val="24"/>
          <w:szCs w:val="24"/>
        </w:rPr>
        <w:t>organisations</w:t>
      </w:r>
      <w:proofErr w:type="spellEnd"/>
      <w:r w:rsidRPr="1A6B4969">
        <w:rPr>
          <w:sz w:val="24"/>
          <w:szCs w:val="24"/>
        </w:rPr>
        <w:t xml:space="preserve"> urgently call on the Turkish authorities to:</w:t>
      </w:r>
    </w:p>
    <w:p w14:paraId="6CE17FF2" w14:textId="5890780C" w:rsidR="2C457B3E" w:rsidRPr="003C503B" w:rsidRDefault="1A6B4969" w:rsidP="1A6B4969">
      <w:pPr>
        <w:pStyle w:val="Lijstalinea"/>
        <w:numPr>
          <w:ilvl w:val="0"/>
          <w:numId w:val="2"/>
        </w:numPr>
        <w:rPr>
          <w:sz w:val="24"/>
          <w:szCs w:val="24"/>
        </w:rPr>
      </w:pPr>
      <w:r w:rsidRPr="1A6B4969">
        <w:rPr>
          <w:sz w:val="24"/>
          <w:szCs w:val="24"/>
        </w:rPr>
        <w:t xml:space="preserve">Immediately terminate all criminal proceedings against the Istanbul Bar Association’s president and executive board, drop the unfounded charges under Article 7/2 of the Anti-Terrorism Law and bring an end to the parallel and politically motivated civil proceedings aimed at removing the Bar Association’s leadership. </w:t>
      </w:r>
    </w:p>
    <w:p w14:paraId="772916F6" w14:textId="48E2788C" w:rsidR="5276F3DE" w:rsidRPr="003C503B" w:rsidRDefault="5276F3DE" w:rsidP="7BC9F860">
      <w:pPr>
        <w:rPr>
          <w:sz w:val="24"/>
          <w:szCs w:val="24"/>
          <w:lang w:val="en-GB"/>
        </w:rPr>
      </w:pPr>
      <w:r w:rsidRPr="003C503B">
        <w:rPr>
          <w:sz w:val="24"/>
          <w:szCs w:val="24"/>
          <w:lang w:val="en-GB"/>
        </w:rPr>
        <w:t>We further call on the Turkish authorities to ensure systemic change to:</w:t>
      </w:r>
    </w:p>
    <w:p w14:paraId="3C0EF28B" w14:textId="72DCA5A1" w:rsidR="008A49BC" w:rsidRPr="003C503B" w:rsidRDefault="1A6B4969" w:rsidP="1A6B4969">
      <w:pPr>
        <w:pStyle w:val="Lijstalinea"/>
        <w:numPr>
          <w:ilvl w:val="0"/>
          <w:numId w:val="2"/>
        </w:numPr>
        <w:rPr>
          <w:sz w:val="24"/>
          <w:szCs w:val="24"/>
        </w:rPr>
      </w:pPr>
      <w:r w:rsidRPr="1A6B4969">
        <w:rPr>
          <w:sz w:val="24"/>
          <w:szCs w:val="24"/>
        </w:rPr>
        <w:t>Guarantee the independence and self-governance of bar associations, in line with domestic law and Turkey’s international human rights obligations.</w:t>
      </w:r>
    </w:p>
    <w:p w14:paraId="73C31C6E" w14:textId="74839B83" w:rsidR="00667036" w:rsidRPr="003C503B" w:rsidRDefault="58514EA5" w:rsidP="008A49BC">
      <w:pPr>
        <w:pStyle w:val="Lijstalinea"/>
        <w:numPr>
          <w:ilvl w:val="0"/>
          <w:numId w:val="2"/>
        </w:numPr>
        <w:rPr>
          <w:sz w:val="24"/>
          <w:szCs w:val="24"/>
          <w:lang w:val="en-GB"/>
        </w:rPr>
      </w:pPr>
      <w:r w:rsidRPr="003C503B">
        <w:rPr>
          <w:sz w:val="24"/>
          <w:szCs w:val="24"/>
          <w:lang w:val="en-GB"/>
        </w:rPr>
        <w:t>End the misuse of anti-terror</w:t>
      </w:r>
      <w:r w:rsidR="5C472C74" w:rsidRPr="003C503B">
        <w:rPr>
          <w:sz w:val="24"/>
          <w:szCs w:val="24"/>
          <w:lang w:val="en-GB"/>
        </w:rPr>
        <w:t>ism</w:t>
      </w:r>
      <w:r w:rsidRPr="003C503B">
        <w:rPr>
          <w:sz w:val="24"/>
          <w:szCs w:val="24"/>
          <w:lang w:val="en-GB"/>
        </w:rPr>
        <w:t xml:space="preserve"> </w:t>
      </w:r>
      <w:r w:rsidR="02ABFC9C" w:rsidRPr="003C503B">
        <w:rPr>
          <w:sz w:val="24"/>
          <w:szCs w:val="24"/>
          <w:lang w:val="en-GB"/>
        </w:rPr>
        <w:t>and criminal</w:t>
      </w:r>
      <w:r w:rsidRPr="003C503B">
        <w:rPr>
          <w:sz w:val="24"/>
          <w:szCs w:val="24"/>
          <w:lang w:val="en-GB"/>
        </w:rPr>
        <w:t xml:space="preserve"> laws to target lawyers, human rights defenders, journalists</w:t>
      </w:r>
      <w:r w:rsidR="4F571BE2" w:rsidRPr="003C503B">
        <w:rPr>
          <w:sz w:val="24"/>
          <w:szCs w:val="24"/>
          <w:lang w:val="en-GB"/>
        </w:rPr>
        <w:t>,</w:t>
      </w:r>
      <w:r w:rsidRPr="003C503B">
        <w:rPr>
          <w:sz w:val="24"/>
          <w:szCs w:val="24"/>
          <w:lang w:val="en-GB"/>
        </w:rPr>
        <w:t xml:space="preserve"> and civil society actors</w:t>
      </w:r>
      <w:r w:rsidR="0D4BE12F" w:rsidRPr="003C503B">
        <w:rPr>
          <w:sz w:val="24"/>
          <w:szCs w:val="24"/>
          <w:lang w:val="en-GB"/>
        </w:rPr>
        <w:t>, and instead respect and protect their human rights</w:t>
      </w:r>
      <w:r w:rsidRPr="003C503B">
        <w:rPr>
          <w:sz w:val="24"/>
          <w:szCs w:val="24"/>
          <w:lang w:val="en-GB"/>
        </w:rPr>
        <w:t>.</w:t>
      </w:r>
    </w:p>
    <w:p w14:paraId="3F7D1CC3" w14:textId="33F229C4" w:rsidR="5B9D029F" w:rsidRPr="003C503B" w:rsidRDefault="5B9D029F" w:rsidP="7BC9F860">
      <w:pPr>
        <w:pStyle w:val="Lijstalinea"/>
        <w:numPr>
          <w:ilvl w:val="0"/>
          <w:numId w:val="2"/>
        </w:numPr>
        <w:rPr>
          <w:sz w:val="24"/>
          <w:szCs w:val="24"/>
          <w:lang w:val="en-GB"/>
        </w:rPr>
      </w:pPr>
      <w:r w:rsidRPr="003C503B">
        <w:rPr>
          <w:sz w:val="24"/>
          <w:szCs w:val="24"/>
          <w:lang w:val="en-GB"/>
        </w:rPr>
        <w:lastRenderedPageBreak/>
        <w:t xml:space="preserve">Sign and ratify the Council of Europe Convention </w:t>
      </w:r>
      <w:r w:rsidR="2254A622" w:rsidRPr="003C503B">
        <w:rPr>
          <w:sz w:val="24"/>
          <w:szCs w:val="24"/>
          <w:lang w:val="en-GB"/>
        </w:rPr>
        <w:t>for</w:t>
      </w:r>
      <w:r w:rsidRPr="003C503B">
        <w:rPr>
          <w:sz w:val="24"/>
          <w:szCs w:val="24"/>
          <w:lang w:val="en-GB"/>
        </w:rPr>
        <w:t xml:space="preserve"> the Protection of the Profession of Lawyer.</w:t>
      </w:r>
    </w:p>
    <w:p w14:paraId="1F26A9F7" w14:textId="6E1BC51C" w:rsidR="00667036" w:rsidRPr="003C503B" w:rsidRDefault="00667036" w:rsidP="00667036">
      <w:pPr>
        <w:rPr>
          <w:sz w:val="24"/>
          <w:szCs w:val="24"/>
          <w:lang w:val="en-GB"/>
        </w:rPr>
      </w:pPr>
      <w:r w:rsidRPr="003C503B">
        <w:rPr>
          <w:sz w:val="24"/>
          <w:szCs w:val="24"/>
          <w:lang w:val="en-GB"/>
        </w:rPr>
        <w:t xml:space="preserve">We call on the </w:t>
      </w:r>
      <w:r w:rsidR="00C63BB8" w:rsidRPr="003C503B">
        <w:rPr>
          <w:sz w:val="24"/>
          <w:szCs w:val="24"/>
          <w:lang w:val="en-GB"/>
        </w:rPr>
        <w:t xml:space="preserve">international community </w:t>
      </w:r>
      <w:r w:rsidRPr="003C503B">
        <w:rPr>
          <w:sz w:val="24"/>
          <w:szCs w:val="24"/>
          <w:lang w:val="en-GB"/>
        </w:rPr>
        <w:t>to:</w:t>
      </w:r>
    </w:p>
    <w:p w14:paraId="21D5870B" w14:textId="59F84415" w:rsidR="008A49BC" w:rsidRPr="003C503B" w:rsidRDefault="1A6B4969" w:rsidP="1A6B4969">
      <w:pPr>
        <w:pStyle w:val="Lijstalinea"/>
        <w:numPr>
          <w:ilvl w:val="0"/>
          <w:numId w:val="2"/>
        </w:numPr>
        <w:rPr>
          <w:sz w:val="24"/>
          <w:szCs w:val="24"/>
        </w:rPr>
      </w:pPr>
      <w:r w:rsidRPr="1A6B4969">
        <w:rPr>
          <w:sz w:val="24"/>
          <w:szCs w:val="24"/>
        </w:rPr>
        <w:t xml:space="preserve">Sustain close monitoring of the proceedings before the Istanbul 26th Heavy Penal </w:t>
      </w:r>
      <w:proofErr w:type="gramStart"/>
      <w:r w:rsidRPr="1A6B4969">
        <w:rPr>
          <w:sz w:val="24"/>
          <w:szCs w:val="24"/>
        </w:rPr>
        <w:t>Court;</w:t>
      </w:r>
      <w:proofErr w:type="gramEnd"/>
    </w:p>
    <w:p w14:paraId="2A7A56D2" w14:textId="7A60110A" w:rsidR="008A49BC" w:rsidRPr="003C503B" w:rsidRDefault="1A6B4969" w:rsidP="1A6B4969">
      <w:pPr>
        <w:pStyle w:val="Lijstalinea"/>
        <w:numPr>
          <w:ilvl w:val="0"/>
          <w:numId w:val="2"/>
        </w:numPr>
        <w:rPr>
          <w:sz w:val="24"/>
          <w:szCs w:val="24"/>
        </w:rPr>
      </w:pPr>
      <w:r w:rsidRPr="1A6B4969">
        <w:rPr>
          <w:sz w:val="24"/>
          <w:szCs w:val="24"/>
        </w:rPr>
        <w:t xml:space="preserve">Condemn publicly the Prosecutor’s final opinion and the escalating threats to the legal profession in </w:t>
      </w:r>
      <w:proofErr w:type="gramStart"/>
      <w:r w:rsidRPr="1A6B4969">
        <w:rPr>
          <w:sz w:val="24"/>
          <w:szCs w:val="24"/>
        </w:rPr>
        <w:t>Turkey;</w:t>
      </w:r>
      <w:proofErr w:type="gramEnd"/>
    </w:p>
    <w:p w14:paraId="4AF2ADB3" w14:textId="1D96D561" w:rsidR="58514EA5" w:rsidRPr="003C503B" w:rsidRDefault="1A6B4969" w:rsidP="1A6B4969">
      <w:pPr>
        <w:pStyle w:val="Lijstalinea"/>
        <w:numPr>
          <w:ilvl w:val="0"/>
          <w:numId w:val="2"/>
        </w:numPr>
        <w:rPr>
          <w:sz w:val="24"/>
          <w:szCs w:val="24"/>
        </w:rPr>
      </w:pPr>
      <w:r w:rsidRPr="1A6B4969">
        <w:rPr>
          <w:sz w:val="24"/>
          <w:szCs w:val="24"/>
        </w:rPr>
        <w:t>Engage directly with Turkish authorities to ensure that the rights of lawyers are respected and upheld and that lawyers and bar associations are protected from harassment, retaliation and unfair prosecution.</w:t>
      </w:r>
    </w:p>
    <w:p w14:paraId="48779627" w14:textId="77777777" w:rsidR="00866CD6" w:rsidRPr="00866CD6" w:rsidRDefault="00866CD6" w:rsidP="00866CD6">
      <w:pPr>
        <w:shd w:val="clear" w:color="auto" w:fill="FFFFFF"/>
        <w:spacing w:before="36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Signatories (in alphabetical order):</w:t>
      </w:r>
    </w:p>
    <w:p w14:paraId="2EC8351A"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Amnesty International</w:t>
      </w:r>
    </w:p>
    <w:p w14:paraId="51AA059A"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Bar Human Rights Committee of England and Wales (BHRC, UK)</w:t>
      </w:r>
    </w:p>
    <w:p w14:paraId="02A5D903"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Center of Elaboration and Research on Democracy</w:t>
      </w:r>
      <w:r w:rsidRPr="00866CD6">
        <w:rPr>
          <w:rFonts w:eastAsia="Times New Roman" w:cs="Times New Roman"/>
          <w:b/>
          <w:bCs/>
          <w:i/>
          <w:iCs/>
          <w:color w:val="444444"/>
          <w:spacing w:val="5"/>
          <w:kern w:val="0"/>
          <w:sz w:val="24"/>
          <w:szCs w:val="24"/>
          <w:lang w:eastAsia="nl-NL"/>
          <w14:ligatures w14:val="none"/>
        </w:rPr>
        <w:t xml:space="preserve"> </w:t>
      </w:r>
      <w:r w:rsidRPr="00866CD6">
        <w:rPr>
          <w:rFonts w:eastAsia="Times New Roman" w:cs="Times New Roman"/>
          <w:b/>
          <w:bCs/>
          <w:color w:val="444444"/>
          <w:spacing w:val="5"/>
          <w:kern w:val="0"/>
          <w:sz w:val="24"/>
          <w:szCs w:val="24"/>
          <w:lang w:eastAsia="nl-NL"/>
          <w14:ligatures w14:val="none"/>
        </w:rPr>
        <w:t>(CRED)</w:t>
      </w:r>
    </w:p>
    <w:p w14:paraId="2F83096E"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 xml:space="preserve">Council of Bars and Law Societies of Europe (Le Conseil des </w:t>
      </w:r>
      <w:proofErr w:type="spellStart"/>
      <w:r w:rsidRPr="00866CD6">
        <w:rPr>
          <w:rFonts w:eastAsia="Times New Roman" w:cs="Times New Roman"/>
          <w:b/>
          <w:bCs/>
          <w:color w:val="444444"/>
          <w:spacing w:val="5"/>
          <w:kern w:val="0"/>
          <w:sz w:val="24"/>
          <w:szCs w:val="24"/>
          <w:lang w:eastAsia="nl-NL"/>
          <w14:ligatures w14:val="none"/>
        </w:rPr>
        <w:t>barreaux</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européens</w:t>
      </w:r>
      <w:proofErr w:type="spellEnd"/>
      <w:r w:rsidRPr="00866CD6">
        <w:rPr>
          <w:rFonts w:eastAsia="Times New Roman" w:cs="Times New Roman"/>
          <w:b/>
          <w:bCs/>
          <w:color w:val="444444"/>
          <w:spacing w:val="5"/>
          <w:kern w:val="0"/>
          <w:sz w:val="24"/>
          <w:szCs w:val="24"/>
          <w:lang w:eastAsia="nl-NL"/>
          <w14:ligatures w14:val="none"/>
        </w:rPr>
        <w:t>, CCBE)</w:t>
      </w:r>
    </w:p>
    <w:p w14:paraId="510D836D"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proofErr w:type="spellStart"/>
      <w:r w:rsidRPr="00866CD6">
        <w:rPr>
          <w:rFonts w:eastAsia="Times New Roman" w:cs="Times New Roman"/>
          <w:b/>
          <w:bCs/>
          <w:color w:val="444444"/>
          <w:spacing w:val="5"/>
          <w:kern w:val="0"/>
          <w:sz w:val="24"/>
          <w:szCs w:val="24"/>
          <w:lang w:eastAsia="nl-NL"/>
          <w14:ligatures w14:val="none"/>
        </w:rPr>
        <w:t>Çağdaş</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Hukukçular</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Derneği</w:t>
      </w:r>
      <w:proofErr w:type="spellEnd"/>
      <w:r w:rsidRPr="00866CD6">
        <w:rPr>
          <w:rFonts w:eastAsia="Times New Roman" w:cs="Times New Roman"/>
          <w:b/>
          <w:bCs/>
          <w:color w:val="444444"/>
          <w:spacing w:val="5"/>
          <w:kern w:val="0"/>
          <w:sz w:val="24"/>
          <w:szCs w:val="24"/>
          <w:lang w:eastAsia="nl-NL"/>
          <w14:ligatures w14:val="none"/>
        </w:rPr>
        <w:t xml:space="preserve"> (Progressive Lawyers </w:t>
      </w:r>
      <w:proofErr w:type="spellStart"/>
      <w:r w:rsidRPr="00866CD6">
        <w:rPr>
          <w:rFonts w:eastAsia="Times New Roman" w:cs="Times New Roman"/>
          <w:b/>
          <w:bCs/>
          <w:color w:val="444444"/>
          <w:spacing w:val="5"/>
          <w:kern w:val="0"/>
          <w:sz w:val="24"/>
          <w:szCs w:val="24"/>
          <w:lang w:eastAsia="nl-NL"/>
          <w14:ligatures w14:val="none"/>
        </w:rPr>
        <w:t>Associaton</w:t>
      </w:r>
      <w:proofErr w:type="spellEnd"/>
      <w:r w:rsidRPr="00866CD6">
        <w:rPr>
          <w:rFonts w:eastAsia="Times New Roman" w:cs="Times New Roman"/>
          <w:b/>
          <w:bCs/>
          <w:color w:val="444444"/>
          <w:spacing w:val="5"/>
          <w:kern w:val="0"/>
          <w:sz w:val="24"/>
          <w:szCs w:val="24"/>
          <w:lang w:eastAsia="nl-NL"/>
          <w14:ligatures w14:val="none"/>
        </w:rPr>
        <w:t>, Türkiye)</w:t>
      </w:r>
    </w:p>
    <w:p w14:paraId="0E77BB80"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Defense Commission of the Barcelona Bar Association (Spain)</w:t>
      </w:r>
    </w:p>
    <w:p w14:paraId="2260DB3E"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val="nl-NL" w:eastAsia="nl-NL"/>
          <w14:ligatures w14:val="none"/>
        </w:rPr>
      </w:pPr>
      <w:proofErr w:type="spellStart"/>
      <w:r w:rsidRPr="00866CD6">
        <w:rPr>
          <w:rFonts w:eastAsia="Times New Roman" w:cs="Times New Roman"/>
          <w:b/>
          <w:bCs/>
          <w:color w:val="444444"/>
          <w:spacing w:val="5"/>
          <w:kern w:val="0"/>
          <w:sz w:val="24"/>
          <w:szCs w:val="24"/>
          <w:lang w:val="nl-NL" w:eastAsia="nl-NL"/>
          <w14:ligatures w14:val="none"/>
        </w:rPr>
        <w:t>Deutscher</w:t>
      </w:r>
      <w:proofErr w:type="spellEnd"/>
      <w:r w:rsidRPr="00866CD6">
        <w:rPr>
          <w:rFonts w:eastAsia="Times New Roman" w:cs="Times New Roman"/>
          <w:b/>
          <w:bCs/>
          <w:color w:val="444444"/>
          <w:spacing w:val="5"/>
          <w:kern w:val="0"/>
          <w:sz w:val="24"/>
          <w:szCs w:val="24"/>
          <w:lang w:val="nl-NL" w:eastAsia="nl-NL"/>
          <w14:ligatures w14:val="none"/>
        </w:rPr>
        <w:t xml:space="preserve"> </w:t>
      </w:r>
      <w:proofErr w:type="spellStart"/>
      <w:r w:rsidRPr="00866CD6">
        <w:rPr>
          <w:rFonts w:eastAsia="Times New Roman" w:cs="Times New Roman"/>
          <w:b/>
          <w:bCs/>
          <w:color w:val="444444"/>
          <w:spacing w:val="5"/>
          <w:kern w:val="0"/>
          <w:sz w:val="24"/>
          <w:szCs w:val="24"/>
          <w:lang w:val="nl-NL" w:eastAsia="nl-NL"/>
          <w14:ligatures w14:val="none"/>
        </w:rPr>
        <w:t>Anwaltverein</w:t>
      </w:r>
      <w:proofErr w:type="spellEnd"/>
      <w:r w:rsidRPr="00866CD6">
        <w:rPr>
          <w:rFonts w:eastAsia="Times New Roman" w:cs="Times New Roman"/>
          <w:b/>
          <w:bCs/>
          <w:color w:val="444444"/>
          <w:spacing w:val="5"/>
          <w:kern w:val="0"/>
          <w:sz w:val="24"/>
          <w:szCs w:val="24"/>
          <w:lang w:val="nl-NL" w:eastAsia="nl-NL"/>
          <w14:ligatures w14:val="none"/>
        </w:rPr>
        <w:t xml:space="preserve"> (</w:t>
      </w:r>
      <w:proofErr w:type="spellStart"/>
      <w:r w:rsidRPr="00866CD6">
        <w:rPr>
          <w:rFonts w:eastAsia="Times New Roman" w:cs="Times New Roman"/>
          <w:b/>
          <w:bCs/>
          <w:color w:val="444444"/>
          <w:spacing w:val="5"/>
          <w:kern w:val="0"/>
          <w:sz w:val="24"/>
          <w:szCs w:val="24"/>
          <w:lang w:val="nl-NL" w:eastAsia="nl-NL"/>
          <w14:ligatures w14:val="none"/>
        </w:rPr>
        <w:t>German</w:t>
      </w:r>
      <w:proofErr w:type="spellEnd"/>
      <w:r w:rsidRPr="00866CD6">
        <w:rPr>
          <w:rFonts w:eastAsia="Times New Roman" w:cs="Times New Roman"/>
          <w:b/>
          <w:bCs/>
          <w:color w:val="444444"/>
          <w:spacing w:val="5"/>
          <w:kern w:val="0"/>
          <w:sz w:val="24"/>
          <w:szCs w:val="24"/>
          <w:lang w:val="nl-NL" w:eastAsia="nl-NL"/>
          <w14:ligatures w14:val="none"/>
        </w:rPr>
        <w:t xml:space="preserve"> Bar Association, Germany)</w:t>
      </w:r>
    </w:p>
    <w:p w14:paraId="78C7A6C5"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proofErr w:type="spellStart"/>
      <w:r w:rsidRPr="00866CD6">
        <w:rPr>
          <w:rFonts w:eastAsia="Times New Roman" w:cs="Times New Roman"/>
          <w:b/>
          <w:bCs/>
          <w:color w:val="444444"/>
          <w:spacing w:val="5"/>
          <w:kern w:val="0"/>
          <w:sz w:val="24"/>
          <w:szCs w:val="24"/>
          <w:lang w:eastAsia="nl-NL"/>
          <w14:ligatures w14:val="none"/>
        </w:rPr>
        <w:t>Eşit</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Haklar</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İçin</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İzleme</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Derneği</w:t>
      </w:r>
      <w:proofErr w:type="spellEnd"/>
      <w:r w:rsidRPr="00866CD6">
        <w:rPr>
          <w:rFonts w:eastAsia="Times New Roman" w:cs="Times New Roman"/>
          <w:b/>
          <w:bCs/>
          <w:color w:val="444444"/>
          <w:spacing w:val="5"/>
          <w:kern w:val="0"/>
          <w:sz w:val="24"/>
          <w:szCs w:val="24"/>
          <w:lang w:eastAsia="nl-NL"/>
          <w14:ligatures w14:val="none"/>
        </w:rPr>
        <w:t xml:space="preserve"> (Association for Monitoring Equal Rights, Türkiye) </w:t>
      </w:r>
    </w:p>
    <w:p w14:paraId="1E55DE30"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European Association of Lawyers for Democracy and World Human Rights (ELDH)</w:t>
      </w:r>
    </w:p>
    <w:p w14:paraId="5F398C69"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The European Criminal Bar Association (ECBA)</w:t>
      </w:r>
    </w:p>
    <w:p w14:paraId="3DCC8218"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 xml:space="preserve">Fédération des </w:t>
      </w:r>
      <w:proofErr w:type="spellStart"/>
      <w:r w:rsidRPr="00866CD6">
        <w:rPr>
          <w:rFonts w:eastAsia="Times New Roman" w:cs="Times New Roman"/>
          <w:b/>
          <w:bCs/>
          <w:color w:val="444444"/>
          <w:spacing w:val="5"/>
          <w:kern w:val="0"/>
          <w:sz w:val="24"/>
          <w:szCs w:val="24"/>
          <w:lang w:eastAsia="nl-NL"/>
          <w14:ligatures w14:val="none"/>
        </w:rPr>
        <w:t>Barreaux</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d'Europe</w:t>
      </w:r>
      <w:proofErr w:type="spellEnd"/>
      <w:r w:rsidRPr="00866CD6">
        <w:rPr>
          <w:rFonts w:eastAsia="Times New Roman" w:cs="Times New Roman"/>
          <w:b/>
          <w:bCs/>
          <w:color w:val="444444"/>
          <w:spacing w:val="5"/>
          <w:kern w:val="0"/>
          <w:sz w:val="24"/>
          <w:szCs w:val="24"/>
          <w:lang w:eastAsia="nl-NL"/>
          <w14:ligatures w14:val="none"/>
        </w:rPr>
        <w:t xml:space="preserve"> (European Bars Federation, FBE)</w:t>
      </w:r>
    </w:p>
    <w:p w14:paraId="69A7A669"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Foundation Day of the Endangered Lawyer</w:t>
      </w:r>
    </w:p>
    <w:p w14:paraId="5FA80639"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 xml:space="preserve">Hak </w:t>
      </w:r>
      <w:proofErr w:type="spellStart"/>
      <w:r w:rsidRPr="00866CD6">
        <w:rPr>
          <w:rFonts w:eastAsia="Times New Roman" w:cs="Times New Roman"/>
          <w:b/>
          <w:bCs/>
          <w:color w:val="444444"/>
          <w:spacing w:val="5"/>
          <w:kern w:val="0"/>
          <w:sz w:val="24"/>
          <w:szCs w:val="24"/>
          <w:lang w:eastAsia="nl-NL"/>
          <w14:ligatures w14:val="none"/>
        </w:rPr>
        <w:t>İnsiyatifi</w:t>
      </w:r>
      <w:proofErr w:type="spellEnd"/>
      <w:r w:rsidRPr="00866CD6">
        <w:rPr>
          <w:rFonts w:eastAsia="Times New Roman" w:cs="Times New Roman"/>
          <w:b/>
          <w:bCs/>
          <w:color w:val="444444"/>
          <w:spacing w:val="5"/>
          <w:kern w:val="0"/>
          <w:sz w:val="24"/>
          <w:szCs w:val="24"/>
          <w:lang w:eastAsia="nl-NL"/>
          <w14:ligatures w14:val="none"/>
        </w:rPr>
        <w:t xml:space="preserve"> Derneği (Rights Initiative Association, Türkiye)</w:t>
      </w:r>
    </w:p>
    <w:p w14:paraId="4C03B11E"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proofErr w:type="spellStart"/>
      <w:r w:rsidRPr="00866CD6">
        <w:rPr>
          <w:rFonts w:eastAsia="Times New Roman" w:cs="Times New Roman"/>
          <w:b/>
          <w:bCs/>
          <w:color w:val="444444"/>
          <w:spacing w:val="5"/>
          <w:kern w:val="0"/>
          <w:sz w:val="24"/>
          <w:szCs w:val="24"/>
          <w:lang w:eastAsia="nl-NL"/>
          <w14:ligatures w14:val="none"/>
        </w:rPr>
        <w:t>Hakikat</w:t>
      </w:r>
      <w:proofErr w:type="spellEnd"/>
      <w:r w:rsidRPr="00866CD6">
        <w:rPr>
          <w:rFonts w:eastAsia="Times New Roman" w:cs="Times New Roman"/>
          <w:b/>
          <w:bCs/>
          <w:color w:val="444444"/>
          <w:spacing w:val="5"/>
          <w:kern w:val="0"/>
          <w:sz w:val="24"/>
          <w:szCs w:val="24"/>
          <w:lang w:eastAsia="nl-NL"/>
          <w14:ligatures w14:val="none"/>
        </w:rPr>
        <w:t xml:space="preserve"> Adalet Hafıza Merkezi (Truth Justice Memory Center, Türkiye)</w:t>
      </w:r>
    </w:p>
    <w:p w14:paraId="44AEA1C4"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Haldane Society of Socialist Lawyers (UK)</w:t>
      </w:r>
    </w:p>
    <w:p w14:paraId="7A80BC2F"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 xml:space="preserve">Human Rights Institute of the Brussels Bar (Belgium) </w:t>
      </w:r>
    </w:p>
    <w:p w14:paraId="37C04B10"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val="nl-NL" w:eastAsia="nl-NL"/>
          <w14:ligatures w14:val="none"/>
        </w:rPr>
      </w:pPr>
      <w:r w:rsidRPr="00866CD6">
        <w:rPr>
          <w:rFonts w:eastAsia="Times New Roman" w:cs="Times New Roman"/>
          <w:b/>
          <w:bCs/>
          <w:color w:val="444444"/>
          <w:spacing w:val="5"/>
          <w:kern w:val="0"/>
          <w:sz w:val="24"/>
          <w:szCs w:val="24"/>
          <w:lang w:val="nl-NL" w:eastAsia="nl-NL"/>
          <w14:ligatures w14:val="none"/>
        </w:rPr>
        <w:t xml:space="preserve">Human </w:t>
      </w:r>
      <w:proofErr w:type="spellStart"/>
      <w:r w:rsidRPr="00866CD6">
        <w:rPr>
          <w:rFonts w:eastAsia="Times New Roman" w:cs="Times New Roman"/>
          <w:b/>
          <w:bCs/>
          <w:color w:val="444444"/>
          <w:spacing w:val="5"/>
          <w:kern w:val="0"/>
          <w:sz w:val="24"/>
          <w:szCs w:val="24"/>
          <w:lang w:val="nl-NL" w:eastAsia="nl-NL"/>
          <w14:ligatures w14:val="none"/>
        </w:rPr>
        <w:t>Rights</w:t>
      </w:r>
      <w:proofErr w:type="spellEnd"/>
      <w:r w:rsidRPr="00866CD6">
        <w:rPr>
          <w:rFonts w:eastAsia="Times New Roman" w:cs="Times New Roman"/>
          <w:b/>
          <w:bCs/>
          <w:color w:val="444444"/>
          <w:spacing w:val="5"/>
          <w:kern w:val="0"/>
          <w:sz w:val="24"/>
          <w:szCs w:val="24"/>
          <w:lang w:val="nl-NL" w:eastAsia="nl-NL"/>
          <w14:ligatures w14:val="none"/>
        </w:rPr>
        <w:t xml:space="preserve"> Watch</w:t>
      </w:r>
    </w:p>
    <w:p w14:paraId="670C858B"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proofErr w:type="spellStart"/>
      <w:r w:rsidRPr="00866CD6">
        <w:rPr>
          <w:rFonts w:eastAsia="Times New Roman" w:cs="Times New Roman"/>
          <w:b/>
          <w:bCs/>
          <w:color w:val="444444"/>
          <w:spacing w:val="5"/>
          <w:kern w:val="0"/>
          <w:sz w:val="24"/>
          <w:szCs w:val="24"/>
          <w:lang w:eastAsia="nl-NL"/>
          <w14:ligatures w14:val="none"/>
        </w:rPr>
        <w:t>İnsan</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Hakları</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Derneği</w:t>
      </w:r>
      <w:proofErr w:type="spellEnd"/>
      <w:r w:rsidRPr="00866CD6">
        <w:rPr>
          <w:rFonts w:eastAsia="Times New Roman" w:cs="Times New Roman"/>
          <w:b/>
          <w:bCs/>
          <w:color w:val="444444"/>
          <w:spacing w:val="5"/>
          <w:kern w:val="0"/>
          <w:sz w:val="24"/>
          <w:szCs w:val="24"/>
          <w:lang w:eastAsia="nl-NL"/>
          <w14:ligatures w14:val="none"/>
        </w:rPr>
        <w:t xml:space="preserve"> (Human Rights Association, Türkiye)</w:t>
      </w:r>
    </w:p>
    <w:p w14:paraId="666C1271"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proofErr w:type="spellStart"/>
      <w:r w:rsidRPr="00866CD6">
        <w:rPr>
          <w:rFonts w:eastAsia="Times New Roman" w:cs="Times New Roman"/>
          <w:b/>
          <w:bCs/>
          <w:color w:val="444444"/>
          <w:spacing w:val="5"/>
          <w:kern w:val="0"/>
          <w:sz w:val="24"/>
          <w:szCs w:val="24"/>
          <w:lang w:eastAsia="nl-NL"/>
          <w14:ligatures w14:val="none"/>
        </w:rPr>
        <w:t>İnsan</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Hakları</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Gündemi</w:t>
      </w:r>
      <w:proofErr w:type="spellEnd"/>
      <w:r w:rsidRPr="00866CD6">
        <w:rPr>
          <w:rFonts w:eastAsia="Times New Roman" w:cs="Times New Roman"/>
          <w:b/>
          <w:bCs/>
          <w:color w:val="444444"/>
          <w:spacing w:val="5"/>
          <w:kern w:val="0"/>
          <w:sz w:val="24"/>
          <w:szCs w:val="24"/>
          <w:lang w:eastAsia="nl-NL"/>
          <w14:ligatures w14:val="none"/>
        </w:rPr>
        <w:t xml:space="preserve"> Derneği (Human Rights Agenda Association, Türkiye)</w:t>
      </w:r>
    </w:p>
    <w:p w14:paraId="5B0C56EF"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lastRenderedPageBreak/>
        <w:t>The International Association of Democratic Lawyers (IADL)</w:t>
      </w:r>
    </w:p>
    <w:p w14:paraId="036FFF85"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International Bar Association’s Human Rights Institute (IBAHRI)</w:t>
      </w:r>
    </w:p>
    <w:p w14:paraId="7AAA4BFB"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The International Commission of Jurists (ICJ)</w:t>
      </w:r>
    </w:p>
    <w:p w14:paraId="7231E500"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International Federation for Human Rights (FIDH), within the framework of the Observatory for the Protection of Human Rights Defenders</w:t>
      </w:r>
    </w:p>
    <w:p w14:paraId="7F2B24E9"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proofErr w:type="spellStart"/>
      <w:r w:rsidRPr="00866CD6">
        <w:rPr>
          <w:rFonts w:eastAsia="Times New Roman" w:cs="Times New Roman"/>
          <w:b/>
          <w:bCs/>
          <w:color w:val="444444"/>
          <w:spacing w:val="5"/>
          <w:kern w:val="0"/>
          <w:sz w:val="24"/>
          <w:szCs w:val="24"/>
          <w:lang w:eastAsia="nl-NL"/>
          <w14:ligatures w14:val="none"/>
        </w:rPr>
        <w:t>Kadının</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İnsan</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Hakları</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Derneği</w:t>
      </w:r>
      <w:proofErr w:type="spellEnd"/>
      <w:r w:rsidRPr="00866CD6">
        <w:rPr>
          <w:rFonts w:eastAsia="Times New Roman" w:cs="Times New Roman"/>
          <w:b/>
          <w:bCs/>
          <w:color w:val="444444"/>
          <w:spacing w:val="5"/>
          <w:kern w:val="0"/>
          <w:sz w:val="24"/>
          <w:szCs w:val="24"/>
          <w:lang w:eastAsia="nl-NL"/>
          <w14:ligatures w14:val="none"/>
        </w:rPr>
        <w:t xml:space="preserve"> (Women for Women’s Human Rights, Türkiye)</w:t>
      </w:r>
    </w:p>
    <w:p w14:paraId="3533FED9"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 xml:space="preserve">Kaos GL </w:t>
      </w:r>
      <w:proofErr w:type="spellStart"/>
      <w:r w:rsidRPr="00866CD6">
        <w:rPr>
          <w:rFonts w:eastAsia="Times New Roman" w:cs="Times New Roman"/>
          <w:b/>
          <w:bCs/>
          <w:color w:val="444444"/>
          <w:spacing w:val="5"/>
          <w:kern w:val="0"/>
          <w:sz w:val="24"/>
          <w:szCs w:val="24"/>
          <w:lang w:eastAsia="nl-NL"/>
          <w14:ligatures w14:val="none"/>
        </w:rPr>
        <w:t>Derneği</w:t>
      </w:r>
      <w:proofErr w:type="spellEnd"/>
      <w:r w:rsidRPr="00866CD6">
        <w:rPr>
          <w:rFonts w:eastAsia="Times New Roman" w:cs="Times New Roman"/>
          <w:b/>
          <w:bCs/>
          <w:color w:val="444444"/>
          <w:spacing w:val="5"/>
          <w:kern w:val="0"/>
          <w:sz w:val="24"/>
          <w:szCs w:val="24"/>
          <w:lang w:eastAsia="nl-NL"/>
          <w14:ligatures w14:val="none"/>
        </w:rPr>
        <w:t xml:space="preserve"> (Kaos GL Association, Türkiye)</w:t>
      </w:r>
    </w:p>
    <w:p w14:paraId="26C49C95"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The Law Society of England and Wales (LSEW, UK)</w:t>
      </w:r>
    </w:p>
    <w:p w14:paraId="5FB7BA1F"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val="nl-NL" w:eastAsia="nl-NL"/>
          <w14:ligatures w14:val="none"/>
        </w:rPr>
      </w:pPr>
      <w:r w:rsidRPr="00866CD6">
        <w:rPr>
          <w:rFonts w:eastAsia="Times New Roman" w:cs="Times New Roman"/>
          <w:b/>
          <w:bCs/>
          <w:color w:val="444444"/>
          <w:spacing w:val="5"/>
          <w:kern w:val="0"/>
          <w:sz w:val="24"/>
          <w:szCs w:val="24"/>
          <w:lang w:val="nl-NL" w:eastAsia="nl-NL"/>
          <w14:ligatures w14:val="none"/>
        </w:rPr>
        <w:t>Lawyers for Lawyers (Netherlands)</w:t>
      </w:r>
    </w:p>
    <w:p w14:paraId="266C27BB"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Lawyers' Rights Watch Canada (LRWC, Canada)</w:t>
      </w:r>
    </w:p>
    <w:p w14:paraId="1E3CFD10"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val="nl-NL" w:eastAsia="nl-NL"/>
          <w14:ligatures w14:val="none"/>
        </w:rPr>
      </w:pPr>
      <w:r w:rsidRPr="00866CD6">
        <w:rPr>
          <w:rFonts w:eastAsia="Times New Roman" w:cs="Times New Roman"/>
          <w:b/>
          <w:bCs/>
          <w:color w:val="444444"/>
          <w:spacing w:val="5"/>
          <w:kern w:val="0"/>
          <w:sz w:val="24"/>
          <w:szCs w:val="24"/>
          <w:lang w:val="nl-NL" w:eastAsia="nl-NL"/>
          <w14:ligatures w14:val="none"/>
        </w:rPr>
        <w:t>Lyon Bar Association (France)</w:t>
      </w:r>
    </w:p>
    <w:p w14:paraId="24C51745"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National Union of Peoples Lawyers (NUPL, Philippines)</w:t>
      </w:r>
    </w:p>
    <w:p w14:paraId="381A7E58"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proofErr w:type="spellStart"/>
      <w:r w:rsidRPr="00866CD6">
        <w:rPr>
          <w:rFonts w:eastAsia="Times New Roman" w:cs="Times New Roman"/>
          <w:b/>
          <w:bCs/>
          <w:color w:val="444444"/>
          <w:spacing w:val="5"/>
          <w:kern w:val="0"/>
          <w:sz w:val="24"/>
          <w:szCs w:val="24"/>
          <w:lang w:eastAsia="nl-NL"/>
          <w14:ligatures w14:val="none"/>
        </w:rPr>
        <w:t>Özgürlük</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İçin</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Hukukçular</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Derneği</w:t>
      </w:r>
      <w:proofErr w:type="spellEnd"/>
      <w:r w:rsidRPr="00866CD6">
        <w:rPr>
          <w:rFonts w:eastAsia="Times New Roman" w:cs="Times New Roman"/>
          <w:b/>
          <w:bCs/>
          <w:color w:val="444444"/>
          <w:spacing w:val="5"/>
          <w:kern w:val="0"/>
          <w:sz w:val="24"/>
          <w:szCs w:val="24"/>
          <w:lang w:eastAsia="nl-NL"/>
          <w14:ligatures w14:val="none"/>
        </w:rPr>
        <w:t xml:space="preserve"> (Lawyers for Freedom Association, Türkiye)</w:t>
      </w:r>
    </w:p>
    <w:p w14:paraId="6B6DCC5C"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val="nl-NL" w:eastAsia="nl-NL"/>
          <w14:ligatures w14:val="none"/>
        </w:rPr>
      </w:pPr>
      <w:r w:rsidRPr="00866CD6">
        <w:rPr>
          <w:rFonts w:eastAsia="Times New Roman" w:cs="Times New Roman"/>
          <w:b/>
          <w:bCs/>
          <w:color w:val="444444"/>
          <w:spacing w:val="5"/>
          <w:kern w:val="0"/>
          <w:sz w:val="24"/>
          <w:szCs w:val="24"/>
          <w:lang w:val="nl-NL" w:eastAsia="nl-NL"/>
          <w14:ligatures w14:val="none"/>
        </w:rPr>
        <w:t>PEN Norway (Norway)</w:t>
      </w:r>
    </w:p>
    <w:p w14:paraId="6E45CFD1"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 xml:space="preserve">Sivil Alan </w:t>
      </w:r>
      <w:proofErr w:type="spellStart"/>
      <w:r w:rsidRPr="00866CD6">
        <w:rPr>
          <w:rFonts w:eastAsia="Times New Roman" w:cs="Times New Roman"/>
          <w:b/>
          <w:bCs/>
          <w:color w:val="444444"/>
          <w:spacing w:val="5"/>
          <w:kern w:val="0"/>
          <w:sz w:val="24"/>
          <w:szCs w:val="24"/>
          <w:lang w:eastAsia="nl-NL"/>
          <w14:ligatures w14:val="none"/>
        </w:rPr>
        <w:t>Araştırmaları</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Derneği</w:t>
      </w:r>
      <w:proofErr w:type="spellEnd"/>
      <w:r w:rsidRPr="00866CD6">
        <w:rPr>
          <w:rFonts w:eastAsia="Times New Roman" w:cs="Times New Roman"/>
          <w:b/>
          <w:bCs/>
          <w:color w:val="444444"/>
          <w:spacing w:val="5"/>
          <w:kern w:val="0"/>
          <w:sz w:val="24"/>
          <w:szCs w:val="24"/>
          <w:lang w:eastAsia="nl-NL"/>
          <w14:ligatures w14:val="none"/>
        </w:rPr>
        <w:t xml:space="preserve"> (Civil Space Studies Association, Türkiye)</w:t>
      </w:r>
    </w:p>
    <w:p w14:paraId="0742826F"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Turkey Litigation Support Project (TLSP, UK)</w:t>
      </w:r>
    </w:p>
    <w:p w14:paraId="1D929965"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 xml:space="preserve">Türkiye </w:t>
      </w:r>
      <w:proofErr w:type="spellStart"/>
      <w:r w:rsidRPr="00866CD6">
        <w:rPr>
          <w:rFonts w:eastAsia="Times New Roman" w:cs="Times New Roman"/>
          <w:b/>
          <w:bCs/>
          <w:color w:val="444444"/>
          <w:spacing w:val="5"/>
          <w:kern w:val="0"/>
          <w:sz w:val="24"/>
          <w:szCs w:val="24"/>
          <w:lang w:eastAsia="nl-NL"/>
          <w14:ligatures w14:val="none"/>
        </w:rPr>
        <w:t>İnsan</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Hakları</w:t>
      </w:r>
      <w:proofErr w:type="spellEnd"/>
      <w:r w:rsidRPr="00866CD6">
        <w:rPr>
          <w:rFonts w:eastAsia="Times New Roman" w:cs="Times New Roman"/>
          <w:b/>
          <w:bCs/>
          <w:color w:val="444444"/>
          <w:spacing w:val="5"/>
          <w:kern w:val="0"/>
          <w:sz w:val="24"/>
          <w:szCs w:val="24"/>
          <w:lang w:eastAsia="nl-NL"/>
          <w14:ligatures w14:val="none"/>
        </w:rPr>
        <w:t xml:space="preserve"> </w:t>
      </w:r>
      <w:proofErr w:type="spellStart"/>
      <w:r w:rsidRPr="00866CD6">
        <w:rPr>
          <w:rFonts w:eastAsia="Times New Roman" w:cs="Times New Roman"/>
          <w:b/>
          <w:bCs/>
          <w:color w:val="444444"/>
          <w:spacing w:val="5"/>
          <w:kern w:val="0"/>
          <w:sz w:val="24"/>
          <w:szCs w:val="24"/>
          <w:lang w:eastAsia="nl-NL"/>
          <w14:ligatures w14:val="none"/>
        </w:rPr>
        <w:t>Vakfı</w:t>
      </w:r>
      <w:proofErr w:type="spellEnd"/>
      <w:r w:rsidRPr="00866CD6">
        <w:rPr>
          <w:rFonts w:eastAsia="Times New Roman" w:cs="Times New Roman"/>
          <w:b/>
          <w:bCs/>
          <w:color w:val="444444"/>
          <w:spacing w:val="5"/>
          <w:kern w:val="0"/>
          <w:sz w:val="24"/>
          <w:szCs w:val="24"/>
          <w:lang w:eastAsia="nl-NL"/>
          <w14:ligatures w14:val="none"/>
        </w:rPr>
        <w:t xml:space="preserve"> (Human Rights Foundation of Turkey, Türkiye)</w:t>
      </w:r>
    </w:p>
    <w:p w14:paraId="1C136C98"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val="nl-NL" w:eastAsia="nl-NL"/>
          <w14:ligatures w14:val="none"/>
        </w:rPr>
      </w:pPr>
      <w:proofErr w:type="spellStart"/>
      <w:r w:rsidRPr="00866CD6">
        <w:rPr>
          <w:rFonts w:eastAsia="Times New Roman" w:cs="Times New Roman"/>
          <w:b/>
          <w:bCs/>
          <w:color w:val="444444"/>
          <w:spacing w:val="5"/>
          <w:kern w:val="0"/>
          <w:sz w:val="24"/>
          <w:szCs w:val="24"/>
          <w:lang w:val="nl-NL" w:eastAsia="nl-NL"/>
          <w14:ligatures w14:val="none"/>
        </w:rPr>
        <w:t>Vereinigung</w:t>
      </w:r>
      <w:proofErr w:type="spellEnd"/>
      <w:r w:rsidRPr="00866CD6">
        <w:rPr>
          <w:rFonts w:eastAsia="Times New Roman" w:cs="Times New Roman"/>
          <w:b/>
          <w:bCs/>
          <w:color w:val="444444"/>
          <w:spacing w:val="5"/>
          <w:kern w:val="0"/>
          <w:sz w:val="24"/>
          <w:szCs w:val="24"/>
          <w:lang w:val="nl-NL" w:eastAsia="nl-NL"/>
          <w14:ligatures w14:val="none"/>
        </w:rPr>
        <w:t xml:space="preserve"> </w:t>
      </w:r>
      <w:proofErr w:type="spellStart"/>
      <w:r w:rsidRPr="00866CD6">
        <w:rPr>
          <w:rFonts w:eastAsia="Times New Roman" w:cs="Times New Roman"/>
          <w:b/>
          <w:bCs/>
          <w:color w:val="444444"/>
          <w:spacing w:val="5"/>
          <w:kern w:val="0"/>
          <w:sz w:val="24"/>
          <w:szCs w:val="24"/>
          <w:lang w:val="nl-NL" w:eastAsia="nl-NL"/>
          <w14:ligatures w14:val="none"/>
        </w:rPr>
        <w:t>Demokratischer</w:t>
      </w:r>
      <w:proofErr w:type="spellEnd"/>
      <w:r w:rsidRPr="00866CD6">
        <w:rPr>
          <w:rFonts w:eastAsia="Times New Roman" w:cs="Times New Roman"/>
          <w:b/>
          <w:bCs/>
          <w:color w:val="444444"/>
          <w:spacing w:val="5"/>
          <w:kern w:val="0"/>
          <w:sz w:val="24"/>
          <w:szCs w:val="24"/>
          <w:lang w:val="nl-NL" w:eastAsia="nl-NL"/>
          <w14:ligatures w14:val="none"/>
        </w:rPr>
        <w:t xml:space="preserve"> </w:t>
      </w:r>
      <w:proofErr w:type="spellStart"/>
      <w:proofErr w:type="gramStart"/>
      <w:r w:rsidRPr="00866CD6">
        <w:rPr>
          <w:rFonts w:eastAsia="Times New Roman" w:cs="Times New Roman"/>
          <w:b/>
          <w:bCs/>
          <w:color w:val="444444"/>
          <w:spacing w:val="5"/>
          <w:kern w:val="0"/>
          <w:sz w:val="24"/>
          <w:szCs w:val="24"/>
          <w:lang w:val="nl-NL" w:eastAsia="nl-NL"/>
          <w14:ligatures w14:val="none"/>
        </w:rPr>
        <w:t>Jurist:innen</w:t>
      </w:r>
      <w:proofErr w:type="spellEnd"/>
      <w:proofErr w:type="gramEnd"/>
      <w:r w:rsidRPr="00866CD6">
        <w:rPr>
          <w:rFonts w:eastAsia="Times New Roman" w:cs="Times New Roman"/>
          <w:b/>
          <w:bCs/>
          <w:color w:val="444444"/>
          <w:spacing w:val="5"/>
          <w:kern w:val="0"/>
          <w:sz w:val="24"/>
          <w:szCs w:val="24"/>
          <w:lang w:val="nl-NL" w:eastAsia="nl-NL"/>
          <w14:ligatures w14:val="none"/>
        </w:rPr>
        <w:t xml:space="preserve"> VDJ (Association of </w:t>
      </w:r>
      <w:proofErr w:type="spellStart"/>
      <w:r w:rsidRPr="00866CD6">
        <w:rPr>
          <w:rFonts w:eastAsia="Times New Roman" w:cs="Times New Roman"/>
          <w:b/>
          <w:bCs/>
          <w:color w:val="444444"/>
          <w:spacing w:val="5"/>
          <w:kern w:val="0"/>
          <w:sz w:val="24"/>
          <w:szCs w:val="24"/>
          <w:lang w:val="nl-NL" w:eastAsia="nl-NL"/>
          <w14:ligatures w14:val="none"/>
        </w:rPr>
        <w:t>Democratic</w:t>
      </w:r>
      <w:proofErr w:type="spellEnd"/>
      <w:r w:rsidRPr="00866CD6">
        <w:rPr>
          <w:rFonts w:eastAsia="Times New Roman" w:cs="Times New Roman"/>
          <w:b/>
          <w:bCs/>
          <w:color w:val="444444"/>
          <w:spacing w:val="5"/>
          <w:kern w:val="0"/>
          <w:sz w:val="24"/>
          <w:szCs w:val="24"/>
          <w:lang w:val="nl-NL" w:eastAsia="nl-NL"/>
          <w14:ligatures w14:val="none"/>
        </w:rPr>
        <w:t xml:space="preserve"> </w:t>
      </w:r>
      <w:proofErr w:type="spellStart"/>
      <w:r w:rsidRPr="00866CD6">
        <w:rPr>
          <w:rFonts w:eastAsia="Times New Roman" w:cs="Times New Roman"/>
          <w:b/>
          <w:bCs/>
          <w:color w:val="444444"/>
          <w:spacing w:val="5"/>
          <w:kern w:val="0"/>
          <w:sz w:val="24"/>
          <w:szCs w:val="24"/>
          <w:lang w:val="nl-NL" w:eastAsia="nl-NL"/>
          <w14:ligatures w14:val="none"/>
        </w:rPr>
        <w:t>Jurists</w:t>
      </w:r>
      <w:proofErr w:type="spellEnd"/>
      <w:r w:rsidRPr="00866CD6">
        <w:rPr>
          <w:rFonts w:eastAsia="Times New Roman" w:cs="Times New Roman"/>
          <w:b/>
          <w:bCs/>
          <w:color w:val="444444"/>
          <w:spacing w:val="5"/>
          <w:kern w:val="0"/>
          <w:sz w:val="24"/>
          <w:szCs w:val="24"/>
          <w:lang w:val="nl-NL" w:eastAsia="nl-NL"/>
          <w14:ligatures w14:val="none"/>
        </w:rPr>
        <w:t>, Germany)</w:t>
      </w:r>
    </w:p>
    <w:p w14:paraId="3039BFD6"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r w:rsidRPr="00866CD6">
        <w:rPr>
          <w:rFonts w:eastAsia="Times New Roman" w:cs="Times New Roman"/>
          <w:b/>
          <w:bCs/>
          <w:color w:val="444444"/>
          <w:spacing w:val="5"/>
          <w:kern w:val="0"/>
          <w:sz w:val="24"/>
          <w:szCs w:val="24"/>
          <w:lang w:eastAsia="nl-NL"/>
          <w14:ligatures w14:val="none"/>
        </w:rPr>
        <w:t xml:space="preserve">World </w:t>
      </w:r>
      <w:proofErr w:type="spellStart"/>
      <w:r w:rsidRPr="00866CD6">
        <w:rPr>
          <w:rFonts w:eastAsia="Times New Roman" w:cs="Times New Roman"/>
          <w:b/>
          <w:bCs/>
          <w:color w:val="444444"/>
          <w:spacing w:val="5"/>
          <w:kern w:val="0"/>
          <w:sz w:val="24"/>
          <w:szCs w:val="24"/>
          <w:lang w:eastAsia="nl-NL"/>
          <w14:ligatures w14:val="none"/>
        </w:rPr>
        <w:t>Organisation</w:t>
      </w:r>
      <w:proofErr w:type="spellEnd"/>
      <w:r w:rsidRPr="00866CD6">
        <w:rPr>
          <w:rFonts w:eastAsia="Times New Roman" w:cs="Times New Roman"/>
          <w:b/>
          <w:bCs/>
          <w:color w:val="444444"/>
          <w:spacing w:val="5"/>
          <w:kern w:val="0"/>
          <w:sz w:val="24"/>
          <w:szCs w:val="24"/>
          <w:lang w:eastAsia="nl-NL"/>
          <w14:ligatures w14:val="none"/>
        </w:rPr>
        <w:t xml:space="preserve"> Against Torture (OMCT), within the framework of the Observatory for the Protection of Human Rights Defenders</w:t>
      </w:r>
    </w:p>
    <w:p w14:paraId="32814C8F" w14:textId="77777777" w:rsidR="00866CD6" w:rsidRPr="00866CD6" w:rsidRDefault="00866CD6" w:rsidP="00866CD6">
      <w:pPr>
        <w:shd w:val="clear" w:color="auto" w:fill="FFFFFF"/>
        <w:spacing w:before="120" w:line="22" w:lineRule="atLeast"/>
        <w:rPr>
          <w:rFonts w:eastAsia="Times New Roman" w:cs="Times New Roman"/>
          <w:color w:val="444444"/>
          <w:spacing w:val="5"/>
          <w:kern w:val="0"/>
          <w:sz w:val="24"/>
          <w:szCs w:val="24"/>
          <w:lang w:eastAsia="nl-NL"/>
          <w14:ligatures w14:val="none"/>
        </w:rPr>
      </w:pPr>
      <w:proofErr w:type="spellStart"/>
      <w:r w:rsidRPr="00866CD6">
        <w:rPr>
          <w:rFonts w:eastAsia="Times New Roman" w:cs="Times New Roman"/>
          <w:b/>
          <w:bCs/>
          <w:color w:val="444444"/>
          <w:spacing w:val="5"/>
          <w:kern w:val="0"/>
          <w:sz w:val="24"/>
          <w:szCs w:val="24"/>
          <w:lang w:eastAsia="nl-NL"/>
          <w14:ligatures w14:val="none"/>
        </w:rPr>
        <w:t>Yurttaşlık</w:t>
      </w:r>
      <w:proofErr w:type="spellEnd"/>
      <w:r w:rsidRPr="00866CD6">
        <w:rPr>
          <w:rFonts w:eastAsia="Times New Roman" w:cs="Times New Roman"/>
          <w:b/>
          <w:bCs/>
          <w:color w:val="444444"/>
          <w:spacing w:val="5"/>
          <w:kern w:val="0"/>
          <w:sz w:val="24"/>
          <w:szCs w:val="24"/>
          <w:lang w:eastAsia="nl-NL"/>
          <w14:ligatures w14:val="none"/>
        </w:rPr>
        <w:t xml:space="preserve"> Derneği (Citizens Assembly, Türkiye)</w:t>
      </w:r>
    </w:p>
    <w:p w14:paraId="29F28319" w14:textId="5E06DDCB" w:rsidR="00CF1047" w:rsidRPr="001E3F3F" w:rsidRDefault="00CF1047" w:rsidP="00866CD6">
      <w:pPr>
        <w:spacing w:line="22" w:lineRule="atLeast"/>
        <w:rPr>
          <w:b/>
          <w:bCs/>
          <w:sz w:val="24"/>
          <w:szCs w:val="24"/>
        </w:rPr>
      </w:pPr>
    </w:p>
    <w:sectPr w:rsidR="00CF1047" w:rsidRPr="001E3F3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D5C"/>
    <w:multiLevelType w:val="multilevel"/>
    <w:tmpl w:val="B99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47639"/>
    <w:multiLevelType w:val="multilevel"/>
    <w:tmpl w:val="9804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C79EB"/>
    <w:multiLevelType w:val="hybridMultilevel"/>
    <w:tmpl w:val="AEF8DD7A"/>
    <w:lvl w:ilvl="0" w:tplc="32BE31D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D76819"/>
    <w:multiLevelType w:val="multilevel"/>
    <w:tmpl w:val="BE0C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C1637"/>
    <w:multiLevelType w:val="multilevel"/>
    <w:tmpl w:val="E578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60902">
    <w:abstractNumId w:val="1"/>
  </w:num>
  <w:num w:numId="2" w16cid:durableId="1822579611">
    <w:abstractNumId w:val="2"/>
  </w:num>
  <w:num w:numId="3" w16cid:durableId="1925262938">
    <w:abstractNumId w:val="0"/>
  </w:num>
  <w:num w:numId="4" w16cid:durableId="462626231">
    <w:abstractNumId w:val="3"/>
  </w:num>
  <w:num w:numId="5" w16cid:durableId="844175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7C"/>
    <w:rsid w:val="00012710"/>
    <w:rsid w:val="00014E56"/>
    <w:rsid w:val="0002258C"/>
    <w:rsid w:val="000461B3"/>
    <w:rsid w:val="00071D2D"/>
    <w:rsid w:val="000740EB"/>
    <w:rsid w:val="00082D6D"/>
    <w:rsid w:val="000A055F"/>
    <w:rsid w:val="000A1A2B"/>
    <w:rsid w:val="000A76A9"/>
    <w:rsid w:val="000B39E5"/>
    <w:rsid w:val="000C667D"/>
    <w:rsid w:val="000C73BA"/>
    <w:rsid w:val="000D6942"/>
    <w:rsid w:val="00101660"/>
    <w:rsid w:val="0012477A"/>
    <w:rsid w:val="00126D52"/>
    <w:rsid w:val="001540C7"/>
    <w:rsid w:val="00162D33"/>
    <w:rsid w:val="00167A4C"/>
    <w:rsid w:val="0018400B"/>
    <w:rsid w:val="001904EC"/>
    <w:rsid w:val="001B7D55"/>
    <w:rsid w:val="001E3F3F"/>
    <w:rsid w:val="001F34A0"/>
    <w:rsid w:val="001F3A8F"/>
    <w:rsid w:val="002257B1"/>
    <w:rsid w:val="00226A5D"/>
    <w:rsid w:val="00250AE1"/>
    <w:rsid w:val="002530E1"/>
    <w:rsid w:val="00261631"/>
    <w:rsid w:val="00270C4A"/>
    <w:rsid w:val="00277B1A"/>
    <w:rsid w:val="00283958"/>
    <w:rsid w:val="002847CE"/>
    <w:rsid w:val="00292205"/>
    <w:rsid w:val="002A3F27"/>
    <w:rsid w:val="002A770B"/>
    <w:rsid w:val="002B6CE9"/>
    <w:rsid w:val="002C103F"/>
    <w:rsid w:val="002C29A2"/>
    <w:rsid w:val="002D0027"/>
    <w:rsid w:val="002E0AA3"/>
    <w:rsid w:val="002E3080"/>
    <w:rsid w:val="002F58E4"/>
    <w:rsid w:val="002F7A3E"/>
    <w:rsid w:val="0030067D"/>
    <w:rsid w:val="00303254"/>
    <w:rsid w:val="0031766B"/>
    <w:rsid w:val="003254B8"/>
    <w:rsid w:val="00337DCB"/>
    <w:rsid w:val="00340F81"/>
    <w:rsid w:val="00352AC5"/>
    <w:rsid w:val="003647CB"/>
    <w:rsid w:val="00367DA7"/>
    <w:rsid w:val="0038526E"/>
    <w:rsid w:val="003924C6"/>
    <w:rsid w:val="0039489F"/>
    <w:rsid w:val="003A75D6"/>
    <w:rsid w:val="003B5451"/>
    <w:rsid w:val="003C4663"/>
    <w:rsid w:val="003C503B"/>
    <w:rsid w:val="003C5727"/>
    <w:rsid w:val="003C7D41"/>
    <w:rsid w:val="003D1F16"/>
    <w:rsid w:val="003E3E03"/>
    <w:rsid w:val="003F1C65"/>
    <w:rsid w:val="0042159A"/>
    <w:rsid w:val="0044523B"/>
    <w:rsid w:val="00460ED3"/>
    <w:rsid w:val="00471839"/>
    <w:rsid w:val="00487934"/>
    <w:rsid w:val="004945F1"/>
    <w:rsid w:val="004C487F"/>
    <w:rsid w:val="004D238D"/>
    <w:rsid w:val="004D6BE5"/>
    <w:rsid w:val="00511F3C"/>
    <w:rsid w:val="00516EDF"/>
    <w:rsid w:val="005222B8"/>
    <w:rsid w:val="00533F47"/>
    <w:rsid w:val="0054119F"/>
    <w:rsid w:val="005638F8"/>
    <w:rsid w:val="00564A5B"/>
    <w:rsid w:val="00575A31"/>
    <w:rsid w:val="00580A8B"/>
    <w:rsid w:val="00586B50"/>
    <w:rsid w:val="00592E11"/>
    <w:rsid w:val="00593E02"/>
    <w:rsid w:val="005A592E"/>
    <w:rsid w:val="005D36F4"/>
    <w:rsid w:val="005E3682"/>
    <w:rsid w:val="00600EDE"/>
    <w:rsid w:val="0060509B"/>
    <w:rsid w:val="00605E57"/>
    <w:rsid w:val="0061230A"/>
    <w:rsid w:val="00636FA4"/>
    <w:rsid w:val="00651DF8"/>
    <w:rsid w:val="00656352"/>
    <w:rsid w:val="0066255F"/>
    <w:rsid w:val="00667036"/>
    <w:rsid w:val="00671877"/>
    <w:rsid w:val="00684C04"/>
    <w:rsid w:val="00686A52"/>
    <w:rsid w:val="006C45DB"/>
    <w:rsid w:val="006D7A77"/>
    <w:rsid w:val="006E1C13"/>
    <w:rsid w:val="006E4C4C"/>
    <w:rsid w:val="006F35E5"/>
    <w:rsid w:val="0070438E"/>
    <w:rsid w:val="00713EAD"/>
    <w:rsid w:val="0074031F"/>
    <w:rsid w:val="007469CB"/>
    <w:rsid w:val="00761B38"/>
    <w:rsid w:val="00776AEF"/>
    <w:rsid w:val="007D266F"/>
    <w:rsid w:val="007D4CF4"/>
    <w:rsid w:val="007E7145"/>
    <w:rsid w:val="007F5788"/>
    <w:rsid w:val="00816D92"/>
    <w:rsid w:val="00817DE4"/>
    <w:rsid w:val="008238C8"/>
    <w:rsid w:val="008255E7"/>
    <w:rsid w:val="00830AA8"/>
    <w:rsid w:val="00836B89"/>
    <w:rsid w:val="008415F0"/>
    <w:rsid w:val="00841825"/>
    <w:rsid w:val="008513DB"/>
    <w:rsid w:val="00860AFF"/>
    <w:rsid w:val="00866CD6"/>
    <w:rsid w:val="0086767C"/>
    <w:rsid w:val="00871552"/>
    <w:rsid w:val="00877380"/>
    <w:rsid w:val="008929D2"/>
    <w:rsid w:val="0089458A"/>
    <w:rsid w:val="008A189B"/>
    <w:rsid w:val="008A49BC"/>
    <w:rsid w:val="008A62C5"/>
    <w:rsid w:val="008E0104"/>
    <w:rsid w:val="008E6AFD"/>
    <w:rsid w:val="008F3EE2"/>
    <w:rsid w:val="008F44CF"/>
    <w:rsid w:val="008F6A32"/>
    <w:rsid w:val="00905487"/>
    <w:rsid w:val="00911175"/>
    <w:rsid w:val="00926C8A"/>
    <w:rsid w:val="00927C5A"/>
    <w:rsid w:val="00937038"/>
    <w:rsid w:val="00953B3C"/>
    <w:rsid w:val="00953EE4"/>
    <w:rsid w:val="009854B1"/>
    <w:rsid w:val="00993A4F"/>
    <w:rsid w:val="009B1FDD"/>
    <w:rsid w:val="009D2250"/>
    <w:rsid w:val="009E616C"/>
    <w:rsid w:val="009E6E2B"/>
    <w:rsid w:val="009F209F"/>
    <w:rsid w:val="009F4E09"/>
    <w:rsid w:val="00A032CD"/>
    <w:rsid w:val="00A205F2"/>
    <w:rsid w:val="00A22DF5"/>
    <w:rsid w:val="00A252BA"/>
    <w:rsid w:val="00A2615B"/>
    <w:rsid w:val="00A30C72"/>
    <w:rsid w:val="00A327FC"/>
    <w:rsid w:val="00A42BA2"/>
    <w:rsid w:val="00A5339A"/>
    <w:rsid w:val="00A6021F"/>
    <w:rsid w:val="00A65E27"/>
    <w:rsid w:val="00A83294"/>
    <w:rsid w:val="00AC3EED"/>
    <w:rsid w:val="00AC57BD"/>
    <w:rsid w:val="00AC7646"/>
    <w:rsid w:val="00AD3BAE"/>
    <w:rsid w:val="00AD7CAB"/>
    <w:rsid w:val="00AE5688"/>
    <w:rsid w:val="00AF1A8F"/>
    <w:rsid w:val="00AF6314"/>
    <w:rsid w:val="00B174AD"/>
    <w:rsid w:val="00B2622E"/>
    <w:rsid w:val="00B40C9F"/>
    <w:rsid w:val="00B41C45"/>
    <w:rsid w:val="00B42588"/>
    <w:rsid w:val="00B61A91"/>
    <w:rsid w:val="00B660D4"/>
    <w:rsid w:val="00B70B1F"/>
    <w:rsid w:val="00B724E1"/>
    <w:rsid w:val="00B87C80"/>
    <w:rsid w:val="00B93511"/>
    <w:rsid w:val="00BA04DD"/>
    <w:rsid w:val="00BA78FF"/>
    <w:rsid w:val="00BC473D"/>
    <w:rsid w:val="00BD4DB7"/>
    <w:rsid w:val="00BE692D"/>
    <w:rsid w:val="00BF0BEA"/>
    <w:rsid w:val="00BF4B02"/>
    <w:rsid w:val="00C10E8E"/>
    <w:rsid w:val="00C22142"/>
    <w:rsid w:val="00C2612E"/>
    <w:rsid w:val="00C30C27"/>
    <w:rsid w:val="00C361C5"/>
    <w:rsid w:val="00C520C5"/>
    <w:rsid w:val="00C63BB8"/>
    <w:rsid w:val="00C63F09"/>
    <w:rsid w:val="00C76D28"/>
    <w:rsid w:val="00C90881"/>
    <w:rsid w:val="00C90986"/>
    <w:rsid w:val="00C96E01"/>
    <w:rsid w:val="00C97A88"/>
    <w:rsid w:val="00CA1A3D"/>
    <w:rsid w:val="00CA54C7"/>
    <w:rsid w:val="00CA65BD"/>
    <w:rsid w:val="00CB51CB"/>
    <w:rsid w:val="00CC1549"/>
    <w:rsid w:val="00CD29A2"/>
    <w:rsid w:val="00CE02F8"/>
    <w:rsid w:val="00CE1E1E"/>
    <w:rsid w:val="00CF0B90"/>
    <w:rsid w:val="00CF1047"/>
    <w:rsid w:val="00D050ED"/>
    <w:rsid w:val="00D07676"/>
    <w:rsid w:val="00D2553F"/>
    <w:rsid w:val="00D3461F"/>
    <w:rsid w:val="00D355AE"/>
    <w:rsid w:val="00D45610"/>
    <w:rsid w:val="00D52A9C"/>
    <w:rsid w:val="00D66DC1"/>
    <w:rsid w:val="00D7247C"/>
    <w:rsid w:val="00D80A33"/>
    <w:rsid w:val="00D80C78"/>
    <w:rsid w:val="00D9117B"/>
    <w:rsid w:val="00D93973"/>
    <w:rsid w:val="00D942F4"/>
    <w:rsid w:val="00DB34AE"/>
    <w:rsid w:val="00DB6F47"/>
    <w:rsid w:val="00DC1FAC"/>
    <w:rsid w:val="00DE4AFC"/>
    <w:rsid w:val="00DE6490"/>
    <w:rsid w:val="00E01477"/>
    <w:rsid w:val="00E01586"/>
    <w:rsid w:val="00E02BFC"/>
    <w:rsid w:val="00E04D68"/>
    <w:rsid w:val="00E07DE9"/>
    <w:rsid w:val="00E15AED"/>
    <w:rsid w:val="00E218BD"/>
    <w:rsid w:val="00E46CD9"/>
    <w:rsid w:val="00E52C7E"/>
    <w:rsid w:val="00E749CE"/>
    <w:rsid w:val="00EA339E"/>
    <w:rsid w:val="00F00485"/>
    <w:rsid w:val="00F019E5"/>
    <w:rsid w:val="00F02E92"/>
    <w:rsid w:val="00F15253"/>
    <w:rsid w:val="00F235A0"/>
    <w:rsid w:val="00F26087"/>
    <w:rsid w:val="00F2614D"/>
    <w:rsid w:val="00F62368"/>
    <w:rsid w:val="00F62A23"/>
    <w:rsid w:val="00F6660C"/>
    <w:rsid w:val="00F71D23"/>
    <w:rsid w:val="00F81405"/>
    <w:rsid w:val="00F907EB"/>
    <w:rsid w:val="00F92764"/>
    <w:rsid w:val="00FA00D7"/>
    <w:rsid w:val="00FA70B7"/>
    <w:rsid w:val="00FB3C48"/>
    <w:rsid w:val="00FB4D6F"/>
    <w:rsid w:val="00FC5A7D"/>
    <w:rsid w:val="00FD31E9"/>
    <w:rsid w:val="00FD5E22"/>
    <w:rsid w:val="00FD7BA9"/>
    <w:rsid w:val="00FE47B8"/>
    <w:rsid w:val="00FE6792"/>
    <w:rsid w:val="0103FC79"/>
    <w:rsid w:val="02088B2B"/>
    <w:rsid w:val="0255E388"/>
    <w:rsid w:val="02852D35"/>
    <w:rsid w:val="028BC45E"/>
    <w:rsid w:val="02ABFC9C"/>
    <w:rsid w:val="033D87E5"/>
    <w:rsid w:val="03BA0D00"/>
    <w:rsid w:val="03D2E6D4"/>
    <w:rsid w:val="03D6B452"/>
    <w:rsid w:val="04AA165B"/>
    <w:rsid w:val="04C05D82"/>
    <w:rsid w:val="04D7B9B6"/>
    <w:rsid w:val="0525BA15"/>
    <w:rsid w:val="05CF9198"/>
    <w:rsid w:val="06B7FA90"/>
    <w:rsid w:val="06D10336"/>
    <w:rsid w:val="06F16AA6"/>
    <w:rsid w:val="07C8C3DF"/>
    <w:rsid w:val="07FFFD66"/>
    <w:rsid w:val="0889C6A3"/>
    <w:rsid w:val="095519DB"/>
    <w:rsid w:val="09A9E7DD"/>
    <w:rsid w:val="09CEB0C9"/>
    <w:rsid w:val="09DE5983"/>
    <w:rsid w:val="0A3F1164"/>
    <w:rsid w:val="0AB8E2C8"/>
    <w:rsid w:val="0B0120B7"/>
    <w:rsid w:val="0B2CCECD"/>
    <w:rsid w:val="0B35A09E"/>
    <w:rsid w:val="0B450714"/>
    <w:rsid w:val="0C29ECD8"/>
    <w:rsid w:val="0C46C2E0"/>
    <w:rsid w:val="0C50498D"/>
    <w:rsid w:val="0C6A97E4"/>
    <w:rsid w:val="0C748038"/>
    <w:rsid w:val="0C80A090"/>
    <w:rsid w:val="0D4BE12F"/>
    <w:rsid w:val="0DA46CCC"/>
    <w:rsid w:val="0DE3E0E2"/>
    <w:rsid w:val="0DE977D1"/>
    <w:rsid w:val="0EBA9BEC"/>
    <w:rsid w:val="0EF37375"/>
    <w:rsid w:val="0F5FD327"/>
    <w:rsid w:val="0F6D3849"/>
    <w:rsid w:val="1119DC2B"/>
    <w:rsid w:val="1144082F"/>
    <w:rsid w:val="1195DFE6"/>
    <w:rsid w:val="1245D676"/>
    <w:rsid w:val="124653B5"/>
    <w:rsid w:val="1271F884"/>
    <w:rsid w:val="12EEBFD7"/>
    <w:rsid w:val="133FA941"/>
    <w:rsid w:val="136E1502"/>
    <w:rsid w:val="1378E3DB"/>
    <w:rsid w:val="14662AD5"/>
    <w:rsid w:val="1486CB28"/>
    <w:rsid w:val="148CBC5F"/>
    <w:rsid w:val="14B0E5F3"/>
    <w:rsid w:val="150435AD"/>
    <w:rsid w:val="159E8B9E"/>
    <w:rsid w:val="15B6FBDE"/>
    <w:rsid w:val="169793FF"/>
    <w:rsid w:val="16A1A05D"/>
    <w:rsid w:val="16C3A0DD"/>
    <w:rsid w:val="16E0A2BC"/>
    <w:rsid w:val="16E4E552"/>
    <w:rsid w:val="16F08C08"/>
    <w:rsid w:val="17367B78"/>
    <w:rsid w:val="177507A6"/>
    <w:rsid w:val="17A654C8"/>
    <w:rsid w:val="181EEBBC"/>
    <w:rsid w:val="18D6647C"/>
    <w:rsid w:val="19589DFD"/>
    <w:rsid w:val="19796B83"/>
    <w:rsid w:val="1A0D0564"/>
    <w:rsid w:val="1A20C185"/>
    <w:rsid w:val="1A6B4969"/>
    <w:rsid w:val="1ADF37DB"/>
    <w:rsid w:val="1B4BCDF1"/>
    <w:rsid w:val="1B647000"/>
    <w:rsid w:val="1C69B1A4"/>
    <w:rsid w:val="1CD1290D"/>
    <w:rsid w:val="1D09FD0C"/>
    <w:rsid w:val="1D6441C9"/>
    <w:rsid w:val="1E57E7DD"/>
    <w:rsid w:val="1E703669"/>
    <w:rsid w:val="1F7360CC"/>
    <w:rsid w:val="1FEEDAFA"/>
    <w:rsid w:val="202AF061"/>
    <w:rsid w:val="21057411"/>
    <w:rsid w:val="21B98D09"/>
    <w:rsid w:val="21BF5521"/>
    <w:rsid w:val="2254A622"/>
    <w:rsid w:val="22C53D54"/>
    <w:rsid w:val="22CD390D"/>
    <w:rsid w:val="244AA499"/>
    <w:rsid w:val="246C8058"/>
    <w:rsid w:val="25122298"/>
    <w:rsid w:val="254773BF"/>
    <w:rsid w:val="26602761"/>
    <w:rsid w:val="2672E87F"/>
    <w:rsid w:val="26AE52E8"/>
    <w:rsid w:val="26D5013A"/>
    <w:rsid w:val="26FFDEEE"/>
    <w:rsid w:val="27040959"/>
    <w:rsid w:val="270F3A09"/>
    <w:rsid w:val="27160E09"/>
    <w:rsid w:val="271EA1C0"/>
    <w:rsid w:val="286DAEF7"/>
    <w:rsid w:val="28CB851C"/>
    <w:rsid w:val="29835DAB"/>
    <w:rsid w:val="298E6C44"/>
    <w:rsid w:val="29E2BA47"/>
    <w:rsid w:val="2A340143"/>
    <w:rsid w:val="2B283F6A"/>
    <w:rsid w:val="2B30887B"/>
    <w:rsid w:val="2B9256DB"/>
    <w:rsid w:val="2BA9D6BD"/>
    <w:rsid w:val="2BB4196B"/>
    <w:rsid w:val="2C173D17"/>
    <w:rsid w:val="2C1E8BA5"/>
    <w:rsid w:val="2C457B3E"/>
    <w:rsid w:val="2C61CF69"/>
    <w:rsid w:val="2CC6FC75"/>
    <w:rsid w:val="2CCC96A6"/>
    <w:rsid w:val="2D228C77"/>
    <w:rsid w:val="2D7DD322"/>
    <w:rsid w:val="2DB42C5F"/>
    <w:rsid w:val="2DB5E363"/>
    <w:rsid w:val="2DB91815"/>
    <w:rsid w:val="2DF1FFE5"/>
    <w:rsid w:val="2E344225"/>
    <w:rsid w:val="2ED7B745"/>
    <w:rsid w:val="2F604CB3"/>
    <w:rsid w:val="2F753438"/>
    <w:rsid w:val="2F7E16CA"/>
    <w:rsid w:val="2F91332A"/>
    <w:rsid w:val="3016266F"/>
    <w:rsid w:val="301F9B98"/>
    <w:rsid w:val="3036F535"/>
    <w:rsid w:val="324F9DF7"/>
    <w:rsid w:val="327F2026"/>
    <w:rsid w:val="32A7C32F"/>
    <w:rsid w:val="32E71FFE"/>
    <w:rsid w:val="33FDC744"/>
    <w:rsid w:val="342DB2BD"/>
    <w:rsid w:val="3517A258"/>
    <w:rsid w:val="3520DC82"/>
    <w:rsid w:val="35804263"/>
    <w:rsid w:val="363888E1"/>
    <w:rsid w:val="3638D212"/>
    <w:rsid w:val="366074EB"/>
    <w:rsid w:val="36D73987"/>
    <w:rsid w:val="37D0AF67"/>
    <w:rsid w:val="385E44C9"/>
    <w:rsid w:val="38A97DC8"/>
    <w:rsid w:val="38BB2843"/>
    <w:rsid w:val="38F016CE"/>
    <w:rsid w:val="38F45AA0"/>
    <w:rsid w:val="395F89DC"/>
    <w:rsid w:val="3A3F48B3"/>
    <w:rsid w:val="3B2768D9"/>
    <w:rsid w:val="3B96B5C7"/>
    <w:rsid w:val="3C8FC29E"/>
    <w:rsid w:val="3CEA4A27"/>
    <w:rsid w:val="3CF4508D"/>
    <w:rsid w:val="3D8DDDDA"/>
    <w:rsid w:val="3E02C064"/>
    <w:rsid w:val="3E669E83"/>
    <w:rsid w:val="3EB05FE2"/>
    <w:rsid w:val="3F163AD5"/>
    <w:rsid w:val="3F53378F"/>
    <w:rsid w:val="3F5AFD94"/>
    <w:rsid w:val="4003EF36"/>
    <w:rsid w:val="405D04DE"/>
    <w:rsid w:val="408F38FF"/>
    <w:rsid w:val="40CACE6A"/>
    <w:rsid w:val="4103ED2A"/>
    <w:rsid w:val="4134A71B"/>
    <w:rsid w:val="41F5AFFD"/>
    <w:rsid w:val="435FA7C2"/>
    <w:rsid w:val="4476C40B"/>
    <w:rsid w:val="4634AC23"/>
    <w:rsid w:val="4643BCD8"/>
    <w:rsid w:val="46BF1238"/>
    <w:rsid w:val="46F9053B"/>
    <w:rsid w:val="476DB0B6"/>
    <w:rsid w:val="478BDD20"/>
    <w:rsid w:val="4812BED5"/>
    <w:rsid w:val="486C2F6C"/>
    <w:rsid w:val="48BDC37D"/>
    <w:rsid w:val="48CE48C7"/>
    <w:rsid w:val="48E66E15"/>
    <w:rsid w:val="48EB87C9"/>
    <w:rsid w:val="492A32A4"/>
    <w:rsid w:val="493C82A6"/>
    <w:rsid w:val="494180F4"/>
    <w:rsid w:val="496CEE09"/>
    <w:rsid w:val="49BA051E"/>
    <w:rsid w:val="49FE0EB8"/>
    <w:rsid w:val="4A8E9E56"/>
    <w:rsid w:val="4AE19AF3"/>
    <w:rsid w:val="4AE3E022"/>
    <w:rsid w:val="4B70D048"/>
    <w:rsid w:val="4D6B1CCA"/>
    <w:rsid w:val="4DA8CE9D"/>
    <w:rsid w:val="4E145033"/>
    <w:rsid w:val="4E5B4927"/>
    <w:rsid w:val="4F00D07C"/>
    <w:rsid w:val="4F571BE2"/>
    <w:rsid w:val="4FDF8BCC"/>
    <w:rsid w:val="5040A12B"/>
    <w:rsid w:val="50871E25"/>
    <w:rsid w:val="50D429E0"/>
    <w:rsid w:val="52101919"/>
    <w:rsid w:val="521F7437"/>
    <w:rsid w:val="5244A84D"/>
    <w:rsid w:val="5276F3DE"/>
    <w:rsid w:val="52F3C196"/>
    <w:rsid w:val="538B2C95"/>
    <w:rsid w:val="54223515"/>
    <w:rsid w:val="54A8BE44"/>
    <w:rsid w:val="54CBAEAE"/>
    <w:rsid w:val="57709BB7"/>
    <w:rsid w:val="57F1BAD2"/>
    <w:rsid w:val="583905BA"/>
    <w:rsid w:val="58514EA5"/>
    <w:rsid w:val="588FB598"/>
    <w:rsid w:val="5897DE9B"/>
    <w:rsid w:val="58A442E4"/>
    <w:rsid w:val="591B0303"/>
    <w:rsid w:val="591DCF69"/>
    <w:rsid w:val="59246520"/>
    <w:rsid w:val="59A5BDBD"/>
    <w:rsid w:val="59C3295B"/>
    <w:rsid w:val="5B5AA41F"/>
    <w:rsid w:val="5B5B4733"/>
    <w:rsid w:val="5B9D029F"/>
    <w:rsid w:val="5BD358BC"/>
    <w:rsid w:val="5BEB1792"/>
    <w:rsid w:val="5C472C74"/>
    <w:rsid w:val="5C8365D5"/>
    <w:rsid w:val="5C84C1F1"/>
    <w:rsid w:val="5CE45FFA"/>
    <w:rsid w:val="5D19F5C2"/>
    <w:rsid w:val="5D5F1E07"/>
    <w:rsid w:val="5EA2E839"/>
    <w:rsid w:val="5EC34C09"/>
    <w:rsid w:val="5ED84161"/>
    <w:rsid w:val="5EEA4855"/>
    <w:rsid w:val="611B1426"/>
    <w:rsid w:val="615D6274"/>
    <w:rsid w:val="6258C74B"/>
    <w:rsid w:val="62895DFC"/>
    <w:rsid w:val="62D1BFB5"/>
    <w:rsid w:val="63F33750"/>
    <w:rsid w:val="6430831A"/>
    <w:rsid w:val="644237EE"/>
    <w:rsid w:val="64FEF68A"/>
    <w:rsid w:val="664D4DEC"/>
    <w:rsid w:val="66692471"/>
    <w:rsid w:val="667649D0"/>
    <w:rsid w:val="66950095"/>
    <w:rsid w:val="66E4071B"/>
    <w:rsid w:val="670F925D"/>
    <w:rsid w:val="678D8074"/>
    <w:rsid w:val="67D48CDE"/>
    <w:rsid w:val="67F2BA4A"/>
    <w:rsid w:val="68202CFD"/>
    <w:rsid w:val="6831A9CF"/>
    <w:rsid w:val="687F7B4C"/>
    <w:rsid w:val="6896A823"/>
    <w:rsid w:val="6905ACB0"/>
    <w:rsid w:val="6987DBC6"/>
    <w:rsid w:val="69AFB38D"/>
    <w:rsid w:val="6AADA7A5"/>
    <w:rsid w:val="6AB14D3B"/>
    <w:rsid w:val="6B29C4E5"/>
    <w:rsid w:val="6C165E8D"/>
    <w:rsid w:val="6C435C9E"/>
    <w:rsid w:val="6C730D91"/>
    <w:rsid w:val="6CC802A6"/>
    <w:rsid w:val="6D0AEFCC"/>
    <w:rsid w:val="6DAF0056"/>
    <w:rsid w:val="6E7BDC18"/>
    <w:rsid w:val="6E86778C"/>
    <w:rsid w:val="6E8DD711"/>
    <w:rsid w:val="6E9F4A63"/>
    <w:rsid w:val="6F456F96"/>
    <w:rsid w:val="6FB593BA"/>
    <w:rsid w:val="6FD38978"/>
    <w:rsid w:val="6FFDD9C3"/>
    <w:rsid w:val="70045275"/>
    <w:rsid w:val="70199A66"/>
    <w:rsid w:val="701B100A"/>
    <w:rsid w:val="702DF9D3"/>
    <w:rsid w:val="70459463"/>
    <w:rsid w:val="70A0A41C"/>
    <w:rsid w:val="70BB591A"/>
    <w:rsid w:val="712ED6FE"/>
    <w:rsid w:val="71BAC783"/>
    <w:rsid w:val="727E3D66"/>
    <w:rsid w:val="73D30FFA"/>
    <w:rsid w:val="755D6698"/>
    <w:rsid w:val="75DCE60C"/>
    <w:rsid w:val="75E681BF"/>
    <w:rsid w:val="762BD67A"/>
    <w:rsid w:val="76A1E667"/>
    <w:rsid w:val="76AA7337"/>
    <w:rsid w:val="76D6D490"/>
    <w:rsid w:val="77132D45"/>
    <w:rsid w:val="77606FB9"/>
    <w:rsid w:val="77994770"/>
    <w:rsid w:val="7860E718"/>
    <w:rsid w:val="78D6FC61"/>
    <w:rsid w:val="795FC454"/>
    <w:rsid w:val="79AAAC27"/>
    <w:rsid w:val="7A816473"/>
    <w:rsid w:val="7A919CF8"/>
    <w:rsid w:val="7ABF32EC"/>
    <w:rsid w:val="7AD27A73"/>
    <w:rsid w:val="7AE04390"/>
    <w:rsid w:val="7B585DE0"/>
    <w:rsid w:val="7BC9F860"/>
    <w:rsid w:val="7BF031BA"/>
    <w:rsid w:val="7C2C87E5"/>
    <w:rsid w:val="7C3004C7"/>
    <w:rsid w:val="7C90C04B"/>
    <w:rsid w:val="7CD1EECE"/>
    <w:rsid w:val="7D9972CA"/>
    <w:rsid w:val="7DAA8A82"/>
    <w:rsid w:val="7E44CDA0"/>
    <w:rsid w:val="7E7A7976"/>
    <w:rsid w:val="7EC7E13C"/>
    <w:rsid w:val="7F501D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E288"/>
  <w15:chartTrackingRefBased/>
  <w15:docId w15:val="{9A08FFD5-9B06-4F92-B3F4-78B74816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867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7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676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76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76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76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76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76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76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767C"/>
    <w:rPr>
      <w:rFonts w:asciiTheme="majorHAnsi" w:eastAsiaTheme="majorEastAsia" w:hAnsiTheme="majorHAnsi" w:cstheme="majorBidi"/>
      <w:color w:val="0F4761" w:themeColor="accent1" w:themeShade="BF"/>
      <w:sz w:val="40"/>
      <w:szCs w:val="40"/>
      <w:lang w:val="en-US"/>
    </w:rPr>
  </w:style>
  <w:style w:type="character" w:customStyle="1" w:styleId="Kop2Char">
    <w:name w:val="Kop 2 Char"/>
    <w:basedOn w:val="Standaardalinea-lettertype"/>
    <w:link w:val="Kop2"/>
    <w:uiPriority w:val="9"/>
    <w:semiHidden/>
    <w:rsid w:val="0086767C"/>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rsid w:val="0086767C"/>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86767C"/>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86767C"/>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86767C"/>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86767C"/>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86767C"/>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86767C"/>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867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767C"/>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8676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767C"/>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8676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767C"/>
    <w:rPr>
      <w:i/>
      <w:iCs/>
      <w:color w:val="404040" w:themeColor="text1" w:themeTint="BF"/>
      <w:lang w:val="en-US"/>
    </w:rPr>
  </w:style>
  <w:style w:type="paragraph" w:styleId="Lijstalinea">
    <w:name w:val="List Paragraph"/>
    <w:basedOn w:val="Standaard"/>
    <w:uiPriority w:val="34"/>
    <w:qFormat/>
    <w:rsid w:val="0086767C"/>
    <w:pPr>
      <w:ind w:left="720"/>
      <w:contextualSpacing/>
    </w:pPr>
  </w:style>
  <w:style w:type="character" w:styleId="Intensievebenadrukking">
    <w:name w:val="Intense Emphasis"/>
    <w:basedOn w:val="Standaardalinea-lettertype"/>
    <w:uiPriority w:val="21"/>
    <w:qFormat/>
    <w:rsid w:val="0086767C"/>
    <w:rPr>
      <w:i/>
      <w:iCs/>
      <w:color w:val="0F4761" w:themeColor="accent1" w:themeShade="BF"/>
    </w:rPr>
  </w:style>
  <w:style w:type="paragraph" w:styleId="Duidelijkcitaat">
    <w:name w:val="Intense Quote"/>
    <w:basedOn w:val="Standaard"/>
    <w:next w:val="Standaard"/>
    <w:link w:val="DuidelijkcitaatChar"/>
    <w:uiPriority w:val="30"/>
    <w:qFormat/>
    <w:rsid w:val="00867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767C"/>
    <w:rPr>
      <w:i/>
      <w:iCs/>
      <w:color w:val="0F4761" w:themeColor="accent1" w:themeShade="BF"/>
      <w:lang w:val="en-US"/>
    </w:rPr>
  </w:style>
  <w:style w:type="character" w:styleId="Intensieveverwijzing">
    <w:name w:val="Intense Reference"/>
    <w:basedOn w:val="Standaardalinea-lettertype"/>
    <w:uiPriority w:val="32"/>
    <w:qFormat/>
    <w:rsid w:val="0086767C"/>
    <w:rPr>
      <w:b/>
      <w:bCs/>
      <w:smallCaps/>
      <w:color w:val="0F4761" w:themeColor="accent1" w:themeShade="BF"/>
      <w:spacing w:val="5"/>
    </w:rPr>
  </w:style>
  <w:style w:type="character" w:styleId="Hyperlink">
    <w:name w:val="Hyperlink"/>
    <w:basedOn w:val="Standaardalinea-lettertype"/>
    <w:uiPriority w:val="99"/>
    <w:unhideWhenUsed/>
    <w:rsid w:val="00FD7BA9"/>
    <w:rPr>
      <w:color w:val="467886" w:themeColor="hyperlink"/>
      <w:u w:val="single"/>
    </w:rPr>
  </w:style>
  <w:style w:type="character" w:styleId="Onopgelostemelding">
    <w:name w:val="Unresolved Mention"/>
    <w:basedOn w:val="Standaardalinea-lettertype"/>
    <w:uiPriority w:val="99"/>
    <w:semiHidden/>
    <w:unhideWhenUsed/>
    <w:rsid w:val="00FD7BA9"/>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lang w:val="en-US"/>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471839"/>
    <w:pPr>
      <w:spacing w:after="0" w:line="240" w:lineRule="auto"/>
    </w:pPr>
    <w:rPr>
      <w:lang w:val="en-US"/>
    </w:rPr>
  </w:style>
  <w:style w:type="character" w:styleId="Zwaar">
    <w:name w:val="Strong"/>
    <w:basedOn w:val="Standaardalinea-lettertype"/>
    <w:uiPriority w:val="22"/>
    <w:qFormat/>
    <w:rsid w:val="00866CD6"/>
    <w:rPr>
      <w:b/>
      <w:bCs/>
    </w:rPr>
  </w:style>
  <w:style w:type="character" w:styleId="Nadruk">
    <w:name w:val="Emphasis"/>
    <w:basedOn w:val="Standaardalinea-lettertype"/>
    <w:uiPriority w:val="20"/>
    <w:qFormat/>
    <w:rsid w:val="00866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rkeylitigationsupport.com/s/Amicus-brief-by-12-international-orgs-on-the-legal-proceedings-against-the-Istanbul-Bar-Eng-1908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rkeylitigationsupport.com/blog/2025/4/14/joint-statement-by-the-international-legal-and-human-rights-community-on-unacceptable-attacks-on-the-legal-profession-in-turkey" TargetMode="External"/><Relationship Id="rId5" Type="http://schemas.openxmlformats.org/officeDocument/2006/relationships/hyperlink" Target="https://www.turkeylitigationsupport.com/blog/2025/1/27/56-international-lawyers-and-human-rights-organisations-condemn-crackdown-on-istanbul-bar-associations-leadership-and-call-for-a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8055</Characters>
  <Application>Microsoft Office Word</Application>
  <DocSecurity>0</DocSecurity>
  <Lines>67</Lines>
  <Paragraphs>18</Paragraphs>
  <ScaleCrop>false</ScaleCrop>
  <Company/>
  <LinksUpToDate>false</LinksUpToDate>
  <CharactersWithSpaces>9501</CharactersWithSpaces>
  <SharedDoc>false</SharedDoc>
  <HLinks>
    <vt:vector size="18" baseType="variant">
      <vt:variant>
        <vt:i4>7602231</vt:i4>
      </vt:variant>
      <vt:variant>
        <vt:i4>6</vt:i4>
      </vt:variant>
      <vt:variant>
        <vt:i4>0</vt:i4>
      </vt:variant>
      <vt:variant>
        <vt:i4>5</vt:i4>
      </vt:variant>
      <vt:variant>
        <vt:lpwstr>https://www.turkeylitigationsupport.com/s/Amicus-brief-by-12-international-orgs-on-the-legal-proceedings-against-the-Istanbul-Bar-Eng-19082025.pdf</vt:lpwstr>
      </vt:variant>
      <vt:variant>
        <vt:lpwstr/>
      </vt:variant>
      <vt:variant>
        <vt:i4>3997799</vt:i4>
      </vt:variant>
      <vt:variant>
        <vt:i4>3</vt:i4>
      </vt:variant>
      <vt:variant>
        <vt:i4>0</vt:i4>
      </vt:variant>
      <vt:variant>
        <vt:i4>5</vt:i4>
      </vt:variant>
      <vt:variant>
        <vt:lpwstr>https://www.turkeylitigationsupport.com/blog/2025/4/14/joint-statement-by-the-international-legal-and-human-rights-community-on-unacceptable-attacks-on-the-legal-profession-in-turkey</vt:lpwstr>
      </vt:variant>
      <vt:variant>
        <vt:lpwstr/>
      </vt:variant>
      <vt:variant>
        <vt:i4>262168</vt:i4>
      </vt:variant>
      <vt:variant>
        <vt:i4>0</vt:i4>
      </vt:variant>
      <vt:variant>
        <vt:i4>0</vt:i4>
      </vt:variant>
      <vt:variant>
        <vt:i4>5</vt:i4>
      </vt:variant>
      <vt:variant>
        <vt:lpwstr>https://www.turkeylitigationsupport.com/blog/2025/1/27/56-international-lawyers-and-human-rights-organisations-condemn-crackdown-on-istanbul-bar-associations-leadership-and-call-for-action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Bingol</dc:creator>
  <cp:keywords/>
  <dc:description/>
  <cp:lastModifiedBy>Jitske Nouwen</cp:lastModifiedBy>
  <cp:revision>2</cp:revision>
  <dcterms:created xsi:type="dcterms:W3CDTF">2026-01-05T15:39:00Z</dcterms:created>
  <dcterms:modified xsi:type="dcterms:W3CDTF">2026-01-05T15:39:00Z</dcterms:modified>
</cp:coreProperties>
</file>